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01" w:rsidRDefault="0039225C" w:rsidP="0039225C">
      <w:pPr>
        <w:pStyle w:val="Nagwek2"/>
        <w:spacing w:line="360" w:lineRule="auto"/>
        <w:ind w:left="567" w:hanging="567"/>
        <w:rPr>
          <w:noProof/>
        </w:rPr>
      </w:pPr>
      <w:bookmarkStart w:id="0" w:name="_Toc528827758"/>
      <w:r>
        <w:rPr>
          <w:noProof/>
        </w:rPr>
        <w:t xml:space="preserve">Analiza progu rentowności i analiza wrażliwości </w:t>
      </w:r>
    </w:p>
    <w:p w:rsidR="0039225C" w:rsidRPr="0039225C" w:rsidRDefault="0039225C" w:rsidP="0039225C">
      <w:pPr>
        <w:pStyle w:val="Nagwek2"/>
        <w:spacing w:line="360" w:lineRule="auto"/>
        <w:ind w:left="567" w:hanging="567"/>
        <w:rPr>
          <w:noProof/>
        </w:rPr>
      </w:pPr>
      <w:bookmarkStart w:id="1" w:name="_GoBack"/>
      <w:bookmarkEnd w:id="1"/>
      <w:r>
        <w:rPr>
          <w:noProof/>
        </w:rPr>
        <w:t xml:space="preserve">(ang. </w:t>
      </w:r>
      <w:r w:rsidRPr="0039225C">
        <w:rPr>
          <w:noProof/>
        </w:rPr>
        <w:t xml:space="preserve">Break Event Point – </w:t>
      </w:r>
      <w:r w:rsidRPr="0039225C">
        <w:rPr>
          <w:i/>
          <w:noProof/>
        </w:rPr>
        <w:t>BEP</w:t>
      </w:r>
      <w:r w:rsidRPr="0039225C">
        <w:rPr>
          <w:noProof/>
        </w:rPr>
        <w:t>)</w:t>
      </w:r>
      <w:bookmarkEnd w:id="0"/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jc w:val="both"/>
        <w:rPr>
          <w:noProof/>
        </w:rPr>
      </w:pPr>
      <w:r w:rsidRPr="0039225C">
        <w:rPr>
          <w:noProof/>
        </w:rPr>
        <w:tab/>
      </w:r>
      <w:r>
        <w:rPr>
          <w:noProof/>
        </w:rPr>
        <w:t>Analizę progu rentowności i analizę wrażliwości przeprowadza się na etapie podejmowania decyzji co do realizacji danego projektu inwestycyjnego. Podstawą tej metody jest opracowanie optymistycznego i pesymistycznego wariantu zmian warunków działania firmy. Zmiany te wpływają w określony sposób na poziom elementów obliczeniowych progu rentowności.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jc w:val="both"/>
        <w:rPr>
          <w:noProof/>
        </w:rPr>
      </w:pPr>
      <w:r>
        <w:rPr>
          <w:noProof/>
        </w:rPr>
        <w:tab/>
        <w:t>Próg rentowności (</w:t>
      </w:r>
      <w:r>
        <w:rPr>
          <w:i/>
          <w:noProof/>
        </w:rPr>
        <w:t>BEP</w:t>
      </w:r>
      <w:r>
        <w:rPr>
          <w:noProof/>
        </w:rPr>
        <w:t>) oznacza rozmiary sprzedaży tak duże, że całkowity przychód pokrywa całkowicie koszty, a zysk jest zerowy – a więc oznacza minimalne rozmiary sprzedaży konieczne do tego, aby nie ponieść straty.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  <w:t>Próg rentowności można obliczyć na podstawie następujących wzorów: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>1)</w:t>
      </w:r>
      <w:r>
        <w:rPr>
          <w:noProof/>
        </w:rPr>
        <w:tab/>
        <w:t>w wyrażeniu ilościowym: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noProof/>
          <w:position w:val="-24"/>
        </w:rPr>
        <w:object w:dxaOrig="1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0.75pt" o:ole="" fillcolor="window">
            <v:imagedata r:id="rId5" o:title=""/>
          </v:shape>
          <o:OLEObject Type="Embed" ProgID="Equation.3" ShapeID="_x0000_i1025" DrawAspect="Content" ObjectID="_1540038324" r:id="rId6"/>
        </w:objec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  <w:t>gdzie: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i/>
          <w:noProof/>
        </w:rPr>
        <w:t>BEP</w:t>
      </w:r>
      <w:r>
        <w:rPr>
          <w:i/>
          <w:noProof/>
        </w:rPr>
        <w:tab/>
      </w:r>
      <w:r>
        <w:rPr>
          <w:noProof/>
        </w:rPr>
        <w:t>-</w:t>
      </w:r>
      <w:r>
        <w:rPr>
          <w:noProof/>
        </w:rPr>
        <w:tab/>
        <w:t>próg rentowności w wyrażeniu ilościowym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i/>
          <w:noProof/>
        </w:rPr>
        <w:t>Ks</w:t>
      </w:r>
      <w:r>
        <w:rPr>
          <w:noProof/>
        </w:rPr>
        <w:tab/>
        <w:t>-</w:t>
      </w:r>
      <w:r>
        <w:rPr>
          <w:noProof/>
        </w:rPr>
        <w:tab/>
        <w:t>koszty stałe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i/>
          <w:noProof/>
        </w:rPr>
        <w:t>C</w:t>
      </w:r>
      <w:r>
        <w:rPr>
          <w:noProof/>
        </w:rPr>
        <w:tab/>
        <w:t>-</w:t>
      </w:r>
      <w:r>
        <w:rPr>
          <w:noProof/>
        </w:rPr>
        <w:tab/>
        <w:t>jednostkowa cena sprzedaży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i/>
          <w:noProof/>
        </w:rPr>
        <w:t>Kz</w:t>
      </w:r>
      <w:r>
        <w:rPr>
          <w:noProof/>
        </w:rPr>
        <w:tab/>
        <w:t>-</w:t>
      </w:r>
      <w:r>
        <w:rPr>
          <w:noProof/>
        </w:rPr>
        <w:tab/>
        <w:t>jednostkowe koszty zmienne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>2)</w:t>
      </w:r>
      <w:r>
        <w:rPr>
          <w:noProof/>
        </w:rPr>
        <w:tab/>
        <w:t>w wyrażeniu wartościowym: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noProof/>
          <w:position w:val="-24"/>
        </w:rPr>
        <w:object w:dxaOrig="2920" w:dyaOrig="620">
          <v:shape id="_x0000_i1026" type="#_x0000_t75" style="width:146.25pt;height:30.75pt" o:ole="" fillcolor="window">
            <v:imagedata r:id="rId7" o:title=""/>
          </v:shape>
          <o:OLEObject Type="Embed" ProgID="Equation.3" ShapeID="_x0000_i1026" DrawAspect="Content" ObjectID="_1540038325" r:id="rId8"/>
        </w:objec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  <w:t>gdzie: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noProof/>
          <w:position w:val="-4"/>
        </w:rPr>
        <w:object w:dxaOrig="560" w:dyaOrig="260">
          <v:shape id="_x0000_i1027" type="#_x0000_t75" style="width:27.75pt;height:12.75pt" o:ole="" fillcolor="window">
            <v:imagedata r:id="rId9" o:title=""/>
          </v:shape>
          <o:OLEObject Type="Embed" ProgID="Equation.3" ShapeID="_x0000_i1027" DrawAspect="Content" ObjectID="_1540038326" r:id="rId10"/>
        </w:object>
      </w:r>
      <w:r>
        <w:rPr>
          <w:noProof/>
        </w:rPr>
        <w:t>-</w:t>
      </w:r>
      <w:r>
        <w:rPr>
          <w:noProof/>
        </w:rPr>
        <w:tab/>
        <w:t>próg rentowności w wyrażeniu wartościowym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  <w:t>pozostałe symbole jak wyżej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>3)</w:t>
      </w:r>
      <w:r>
        <w:rPr>
          <w:noProof/>
        </w:rPr>
        <w:tab/>
        <w:t>w wyrażeniu procentowym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noProof/>
          <w:position w:val="-30"/>
        </w:rPr>
        <w:object w:dxaOrig="4360" w:dyaOrig="680">
          <v:shape id="_x0000_i1028" type="#_x0000_t75" style="width:218.25pt;height:33.75pt" o:ole="" fillcolor="window">
            <v:imagedata r:id="rId11" o:title=""/>
          </v:shape>
          <o:OLEObject Type="Embed" ProgID="Equation.3" ShapeID="_x0000_i1028" DrawAspect="Content" ObjectID="_1540038327" r:id="rId12"/>
        </w:objec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  <w:t>gdzie: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noProof/>
          <w:position w:val="-4"/>
        </w:rPr>
        <w:object w:dxaOrig="620" w:dyaOrig="260">
          <v:shape id="_x0000_i1029" type="#_x0000_t75" style="width:30.75pt;height:12.75pt" o:ole="" fillcolor="window">
            <v:imagedata r:id="rId13" o:title=""/>
          </v:shape>
          <o:OLEObject Type="Embed" ProgID="Equation.3" ShapeID="_x0000_i1029" DrawAspect="Content" ObjectID="_1540038328" r:id="rId14"/>
        </w:object>
      </w:r>
      <w:r>
        <w:rPr>
          <w:noProof/>
        </w:rPr>
        <w:tab/>
        <w:t>-</w:t>
      </w:r>
      <w:r>
        <w:rPr>
          <w:noProof/>
        </w:rPr>
        <w:tab/>
        <w:t>próg rentowności w wyrażeniu procentowym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i/>
          <w:noProof/>
        </w:rPr>
        <w:t>P</w:t>
      </w:r>
      <w:r>
        <w:rPr>
          <w:i/>
          <w:noProof/>
          <w:vertAlign w:val="subscript"/>
        </w:rPr>
        <w:t>m</w:t>
      </w:r>
      <w:r>
        <w:rPr>
          <w:noProof/>
        </w:rPr>
        <w:tab/>
        <w:t>-</w:t>
      </w:r>
      <w:r>
        <w:rPr>
          <w:noProof/>
        </w:rPr>
        <w:tab/>
        <w:t>pełna moc produkcyjna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lastRenderedPageBreak/>
        <w:tab/>
        <w:t>Wskaźnik bezpieczeństwa oblicza się ze wzoru: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noProof/>
          <w:position w:val="-30"/>
        </w:rPr>
        <w:object w:dxaOrig="2340" w:dyaOrig="700">
          <v:shape id="_x0000_i1030" type="#_x0000_t75" style="width:117pt;height:35.25pt" o:ole="" fillcolor="window">
            <v:imagedata r:id="rId15" o:title=""/>
          </v:shape>
          <o:OLEObject Type="Embed" ProgID="Equation.3" ShapeID="_x0000_i1030" DrawAspect="Content" ObjectID="_1540038329" r:id="rId16"/>
        </w:objec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  <w:t>gdzie: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i/>
          <w:noProof/>
        </w:rPr>
        <w:t>W</w:t>
      </w:r>
      <w:r>
        <w:rPr>
          <w:i/>
          <w:noProof/>
          <w:vertAlign w:val="subscript"/>
        </w:rPr>
        <w:t>B</w:t>
      </w:r>
      <w:r>
        <w:rPr>
          <w:noProof/>
        </w:rPr>
        <w:tab/>
        <w:t>-</w:t>
      </w:r>
      <w:r>
        <w:rPr>
          <w:noProof/>
        </w:rPr>
        <w:tab/>
        <w:t>wskaźnik</w:t>
      </w:r>
      <w:r>
        <w:rPr>
          <w:noProof/>
          <w:vertAlign w:val="subscript"/>
        </w:rPr>
        <w:t xml:space="preserve"> </w:t>
      </w:r>
      <w:r>
        <w:rPr>
          <w:noProof/>
        </w:rPr>
        <w:t>bezpieczeństwa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  <w:t>pozostałe symbole jak wyżej.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jc w:val="both"/>
        <w:rPr>
          <w:noProof/>
        </w:rPr>
      </w:pPr>
      <w:r>
        <w:rPr>
          <w:noProof/>
        </w:rPr>
        <w:tab/>
        <w:t>Analiza wrażliwości obejmuje badanie granicznego poziomu poszczególnych czynników, który przy założonym poziomie sprzedaży i stałym poziomie innych czynników zagwarantuje osiągnięcie progu rentowności.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jc w:val="both"/>
        <w:rPr>
          <w:noProof/>
        </w:rPr>
      </w:pPr>
      <w:r>
        <w:rPr>
          <w:noProof/>
        </w:rPr>
        <w:t>Graniczny poziom jednostkowej ceny określić można na podstawie następującego wzoru: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noProof/>
          <w:position w:val="-24"/>
        </w:rPr>
        <w:object w:dxaOrig="1900" w:dyaOrig="620">
          <v:shape id="_x0000_i1031" type="#_x0000_t75" style="width:95.25pt;height:30.75pt" o:ole="" fillcolor="window">
            <v:imagedata r:id="rId17" o:title=""/>
          </v:shape>
          <o:OLEObject Type="Embed" ProgID="Equation.3" ShapeID="_x0000_i1031" DrawAspect="Content" ObjectID="_1540038330" r:id="rId18"/>
        </w:objec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  <w:t>gdzie: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i/>
          <w:noProof/>
        </w:rPr>
        <w:t>C</w:t>
      </w:r>
      <w:r>
        <w:rPr>
          <w:i/>
          <w:noProof/>
          <w:vertAlign w:val="subscript"/>
        </w:rPr>
        <w:t>min</w:t>
      </w:r>
      <w:r>
        <w:rPr>
          <w:noProof/>
        </w:rPr>
        <w:tab/>
        <w:t>-</w:t>
      </w:r>
      <w:r>
        <w:rPr>
          <w:noProof/>
        </w:rPr>
        <w:tab/>
        <w:t>graniczny poziom jednostkowej ceny sprzedaży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i/>
          <w:noProof/>
        </w:rPr>
        <w:t>P</w:t>
      </w:r>
      <w:r>
        <w:rPr>
          <w:noProof/>
        </w:rPr>
        <w:tab/>
        <w:t>-</w:t>
      </w:r>
      <w:r>
        <w:rPr>
          <w:noProof/>
        </w:rPr>
        <w:tab/>
        <w:t>zakładana wielkość sprzedaży,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  <w:t>pozostałe symbole jak we wcześniejszych wzorach.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>Graniczny poziom jednostkowego kosztu zmiennego można wyznaczyć ze wzoru: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noProof/>
          <w:position w:val="-24"/>
        </w:rPr>
        <w:object w:dxaOrig="1939" w:dyaOrig="620">
          <v:shape id="_x0000_i1032" type="#_x0000_t75" style="width:96.75pt;height:30.75pt" o:ole="" fillcolor="window">
            <v:imagedata r:id="rId19" o:title=""/>
          </v:shape>
          <o:OLEObject Type="Embed" ProgID="Equation.3" ShapeID="_x0000_i1032" DrawAspect="Content" ObjectID="_1540038331" r:id="rId20"/>
        </w:objec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  <w:t>gdzie: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i/>
          <w:noProof/>
        </w:rPr>
        <w:t>Kz</w:t>
      </w:r>
      <w:r>
        <w:rPr>
          <w:i/>
          <w:noProof/>
          <w:vertAlign w:val="subscript"/>
        </w:rPr>
        <w:t>max</w:t>
      </w:r>
      <w:r>
        <w:rPr>
          <w:noProof/>
        </w:rPr>
        <w:tab/>
        <w:t>-</w:t>
      </w:r>
      <w:r>
        <w:rPr>
          <w:noProof/>
        </w:rPr>
        <w:tab/>
        <w:t>graniczny poziom jednostkowego kosztu zmiennego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jc w:val="both"/>
        <w:rPr>
          <w:noProof/>
        </w:rPr>
      </w:pPr>
      <w:r>
        <w:rPr>
          <w:noProof/>
        </w:rPr>
        <w:t>Stosując metodę granicznej rentowności i analizy wrażliwości należy określić margines bezpieczeństwa przedsięwzięcia z uwagi na zmianę czynników wpływających na wielkość progu rentowności.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>Margines ten ustala się następująco: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>a)</w:t>
      </w:r>
      <w:r>
        <w:rPr>
          <w:noProof/>
        </w:rPr>
        <w:tab/>
        <w:t>z uwagi na jednostkową cenę sprzedaży: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noProof/>
          <w:position w:val="-24"/>
        </w:rPr>
        <w:object w:dxaOrig="2240" w:dyaOrig="639">
          <v:shape id="_x0000_i1033" type="#_x0000_t75" style="width:111.75pt;height:32.25pt" o:ole="" fillcolor="window">
            <v:imagedata r:id="rId21" o:title=""/>
          </v:shape>
          <o:OLEObject Type="Embed" ProgID="Equation.3" ShapeID="_x0000_i1033" DrawAspect="Content" ObjectID="_1540038332" r:id="rId22"/>
        </w:objec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>b)</w:t>
      </w:r>
      <w:r>
        <w:rPr>
          <w:noProof/>
        </w:rPr>
        <w:tab/>
        <w:t>z uwagi na jednostkowy koszt zmienny: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noProof/>
          <w:position w:val="-24"/>
        </w:rPr>
        <w:object w:dxaOrig="2500" w:dyaOrig="639">
          <v:shape id="_x0000_i1034" type="#_x0000_t75" style="width:125.25pt;height:32.25pt" o:ole="" fillcolor="window">
            <v:imagedata r:id="rId23" o:title=""/>
          </v:shape>
          <o:OLEObject Type="Embed" ProgID="Equation.3" ShapeID="_x0000_i1034" DrawAspect="Content" ObjectID="_1540038333" r:id="rId24"/>
        </w:objec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jc w:val="both"/>
        <w:rPr>
          <w:noProof/>
        </w:rPr>
      </w:pPr>
      <w:r>
        <w:rPr>
          <w:noProof/>
        </w:rPr>
        <w:lastRenderedPageBreak/>
        <w:tab/>
        <w:t>Margines bezpieczeństwa jest miernikiem ryzyka operacyjnego. Im wyższy jest ten wskaźnik, tym położenie jest bezpieczniejsze, gdyż mniejsze jest ryzyko spadnięcia do progu rentowności.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jc w:val="both"/>
        <w:rPr>
          <w:noProof/>
        </w:rPr>
      </w:pPr>
      <w:r>
        <w:rPr>
          <w:noProof/>
        </w:rPr>
        <w:tab/>
        <w:t>Analiza progu rentowności i analiza wrażliwości pozwala odpowiedzieć na pytanie: jak wygląda finansowa wykonalność proponowanej inwestycji?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</w:p>
    <w:p w:rsidR="0039225C" w:rsidRDefault="00606901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b/>
          <w:noProof/>
        </w:rPr>
      </w:pPr>
      <w:r>
        <w:rPr>
          <w:b/>
          <w:noProof/>
        </w:rPr>
        <w:t xml:space="preserve">Przykład 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jc w:val="both"/>
        <w:rPr>
          <w:noProof/>
        </w:rPr>
      </w:pPr>
      <w:r>
        <w:rPr>
          <w:noProof/>
        </w:rPr>
        <w:t>Nowopowstała firma  “Zabawkoland” rozpoczyna produkcję zabawki “chipcio”. Zdolność produkcyjna wynosi 40.000 szt. Ustalono cenę jednostkową zabawki na 25 j.p. Przewidywane miesięczne koszty zmienne wynoszą: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>- koszt materiału – 10 j.p.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>- koszt dostawy – 7 j.p.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>Razem miesięczne koszty zmienne: 17 j.p.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>Przewidywane koszty stałe miesięczne: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>- wieczysta dzierżawa gruntu – 700 j.p.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>- wynagrodzenie z narzutami – 6.500 j.p.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>- energia – 3.400 j.p.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>- dzierżawa urządzeń i pawilonu – 6.000 j.p.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>- pozostałe – 3.600 j.p.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>Razem koszty stałe: 20.200 j.p.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>Polecenia: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jc w:val="both"/>
        <w:rPr>
          <w:noProof/>
        </w:rPr>
      </w:pPr>
      <w:r>
        <w:rPr>
          <w:noProof/>
        </w:rPr>
        <w:t>Ustalić miesięczny próg rentowności wyrażony w ilości zabawek i w wartości sprzedaży dla następujących wariantów: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>a) dla założeń wyjściowych;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>b) zakładając wzrost jednostkowych kosztów zmiennych o 20%;</w:t>
      </w:r>
    </w:p>
    <w:p w:rsidR="0039225C" w:rsidRDefault="0039225C" w:rsidP="0039225C">
      <w:pPr>
        <w:pStyle w:val="Tekstpodstawowywcity"/>
        <w:numPr>
          <w:ilvl w:val="0"/>
          <w:numId w:val="1"/>
        </w:numPr>
        <w:tabs>
          <w:tab w:val="left" w:pos="709"/>
          <w:tab w:val="left" w:pos="1418"/>
          <w:tab w:val="left" w:pos="1985"/>
        </w:tabs>
        <w:rPr>
          <w:noProof/>
        </w:rPr>
      </w:pPr>
      <w:r>
        <w:rPr>
          <w:noProof/>
        </w:rPr>
        <w:t>zakładając obniżkę ceny o 8%.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spacing w:before="120" w:after="120"/>
        <w:ind w:left="0"/>
        <w:rPr>
          <w:b/>
          <w:noProof/>
          <w:sz w:val="22"/>
        </w:rPr>
      </w:pPr>
      <w:r>
        <w:rPr>
          <w:b/>
          <w:noProof/>
          <w:sz w:val="22"/>
        </w:rPr>
        <w:t>Rozwiązanie: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>a) Próg rentowności ilościowy: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noProof/>
          <w:position w:val="-24"/>
        </w:rPr>
        <w:object w:dxaOrig="2600" w:dyaOrig="620">
          <v:shape id="_x0000_i1035" type="#_x0000_t75" style="width:129.75pt;height:30.75pt" o:ole="" fillcolor="window">
            <v:imagedata r:id="rId25" o:title=""/>
          </v:shape>
          <o:OLEObject Type="Embed" ProgID="Equation.3" ShapeID="_x0000_i1035" DrawAspect="Content" ObjectID="_1540038334" r:id="rId26"/>
        </w:objec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 xml:space="preserve">   Próg rentowności wartościowy: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noProof/>
          <w:position w:val="-10"/>
        </w:rPr>
        <w:object w:dxaOrig="3019" w:dyaOrig="320">
          <v:shape id="_x0000_i1036" type="#_x0000_t75" style="width:150.75pt;height:15.75pt" o:ole="" fillcolor="window">
            <v:imagedata r:id="rId27" o:title=""/>
          </v:shape>
          <o:OLEObject Type="Embed" ProgID="Equation.3" ShapeID="_x0000_i1036" DrawAspect="Content" ObjectID="_1540038335" r:id="rId28"/>
        </w:objec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jc w:val="both"/>
        <w:rPr>
          <w:noProof/>
        </w:rPr>
      </w:pPr>
      <w:r>
        <w:rPr>
          <w:noProof/>
        </w:rPr>
        <w:lastRenderedPageBreak/>
        <w:t>Firma chcąc pokryć wszystkie swoje koszty stałe i zmienne nie osiągając zysku i nie ponosząc straty musi wyprodukować 2.525 szt. Jest to jednoznaczne z osiągnięciem przychodów ze sprzedaży w kwocie 63.125 j.p.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>b) koszty zmienne = 17+ 3,4=20,4 j.p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noProof/>
          <w:position w:val="-28"/>
        </w:rPr>
        <w:object w:dxaOrig="3440" w:dyaOrig="660">
          <v:shape id="_x0000_i1037" type="#_x0000_t75" style="width:171.75pt;height:33pt" o:ole="" fillcolor="window">
            <v:imagedata r:id="rId29" o:title=""/>
          </v:shape>
          <o:OLEObject Type="Embed" ProgID="Equation.3" ShapeID="_x0000_i1037" DrawAspect="Content" ObjectID="_1540038336" r:id="rId30"/>
        </w:objec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noProof/>
          <w:position w:val="-10"/>
        </w:rPr>
        <w:object w:dxaOrig="2900" w:dyaOrig="320">
          <v:shape id="_x0000_i1038" type="#_x0000_t75" style="width:144.75pt;height:15.75pt" o:ole="" fillcolor="window">
            <v:imagedata r:id="rId31" o:title=""/>
          </v:shape>
          <o:OLEObject Type="Embed" ProgID="Equation.3" ShapeID="_x0000_i1038" DrawAspect="Content" ObjectID="_1540038337" r:id="rId32"/>
        </w:objec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jc w:val="both"/>
        <w:rPr>
          <w:noProof/>
        </w:rPr>
      </w:pPr>
      <w:r>
        <w:rPr>
          <w:noProof/>
        </w:rPr>
        <w:t>Wzrost kosztów o 20% powoduje konieczność sprzedaży 4.391 sztuk w celu osiągnięcia progu rentowności.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>c) nowa cena wyniesie: 23 j.p.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noProof/>
          <w:position w:val="-24"/>
        </w:rPr>
        <w:object w:dxaOrig="3240" w:dyaOrig="620">
          <v:shape id="_x0000_i1039" type="#_x0000_t75" style="width:162pt;height:30.75pt" o:ole="" fillcolor="window">
            <v:imagedata r:id="rId33" o:title=""/>
          </v:shape>
          <o:OLEObject Type="Embed" ProgID="Equation.3" ShapeID="_x0000_i1039" DrawAspect="Content" ObjectID="_1540038338" r:id="rId34"/>
        </w:objec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noProof/>
          <w:position w:val="-6"/>
        </w:rPr>
        <w:object w:dxaOrig="2640" w:dyaOrig="279">
          <v:shape id="_x0000_i1040" type="#_x0000_t75" style="width:132pt;height:14.25pt" o:ole="" fillcolor="window">
            <v:imagedata r:id="rId35" o:title=""/>
          </v:shape>
          <o:OLEObject Type="Embed" ProgID="Equation.3" ShapeID="_x0000_i1040" DrawAspect="Content" ObjectID="_1540038339" r:id="rId36"/>
        </w:objec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>Margines bezpieczeństwa:</w:t>
      </w:r>
    </w:p>
    <w:p w:rsidR="0039225C" w:rsidRDefault="0039225C" w:rsidP="0039225C">
      <w:pPr>
        <w:pStyle w:val="Tekstpodstawowywcity"/>
        <w:tabs>
          <w:tab w:val="left" w:pos="709"/>
          <w:tab w:val="left" w:pos="1418"/>
          <w:tab w:val="left" w:pos="1985"/>
        </w:tabs>
        <w:ind w:left="0"/>
        <w:rPr>
          <w:noProof/>
        </w:rPr>
      </w:pPr>
      <w:r>
        <w:rPr>
          <w:noProof/>
        </w:rPr>
        <w:tab/>
      </w:r>
      <w:r>
        <w:rPr>
          <w:noProof/>
          <w:position w:val="-24"/>
        </w:rPr>
        <w:object w:dxaOrig="4640" w:dyaOrig="620">
          <v:shape id="_x0000_i1041" type="#_x0000_t75" style="width:231.75pt;height:30.75pt" o:ole="" fillcolor="window">
            <v:imagedata r:id="rId37" o:title=""/>
          </v:shape>
          <o:OLEObject Type="Embed" ProgID="Equation.3" ShapeID="_x0000_i1041" DrawAspect="Content" ObjectID="_1540038340" r:id="rId38"/>
        </w:object>
      </w:r>
    </w:p>
    <w:p w:rsidR="0039225C" w:rsidRDefault="0039225C" w:rsidP="0039225C">
      <w:pPr>
        <w:pStyle w:val="Tekstpodstawowywcity"/>
        <w:ind w:left="426"/>
        <w:rPr>
          <w:noProof/>
        </w:rPr>
      </w:pPr>
      <w:r>
        <w:rPr>
          <w:noProof/>
        </w:rPr>
        <w:tab/>
      </w:r>
      <w:r>
        <w:rPr>
          <w:noProof/>
          <w:position w:val="-24"/>
        </w:rPr>
        <w:object w:dxaOrig="3920" w:dyaOrig="639">
          <v:shape id="_x0000_i1042" type="#_x0000_t75" style="width:195.75pt;height:32.25pt" o:ole="" fillcolor="window">
            <v:imagedata r:id="rId39" o:title=""/>
          </v:shape>
          <o:OLEObject Type="Embed" ProgID="Equation.3" ShapeID="_x0000_i1042" DrawAspect="Content" ObjectID="_1540038341" r:id="rId40"/>
        </w:object>
      </w:r>
      <w:r>
        <w:rPr>
          <w:noProof/>
        </w:rPr>
        <w:tab/>
      </w:r>
    </w:p>
    <w:p w:rsidR="0039225C" w:rsidRDefault="0039225C" w:rsidP="0039225C">
      <w:pPr>
        <w:pStyle w:val="Tekstpodstawowywcity"/>
        <w:ind w:left="426" w:firstLine="282"/>
        <w:rPr>
          <w:noProof/>
        </w:rPr>
      </w:pPr>
      <w:r>
        <w:rPr>
          <w:noProof/>
          <w:position w:val="-24"/>
        </w:rPr>
        <w:object w:dxaOrig="6399" w:dyaOrig="620">
          <v:shape id="_x0000_i1043" type="#_x0000_t75" style="width:320.25pt;height:30.75pt" o:ole="" fillcolor="window">
            <v:imagedata r:id="rId41" o:title=""/>
          </v:shape>
          <o:OLEObject Type="Embed" ProgID="Equation.3" ShapeID="_x0000_i1043" DrawAspect="Content" ObjectID="_1540038342" r:id="rId42"/>
        </w:object>
      </w:r>
    </w:p>
    <w:p w:rsidR="0039225C" w:rsidRDefault="0039225C" w:rsidP="0039225C">
      <w:pPr>
        <w:pStyle w:val="Tekstpodstawowywcity"/>
        <w:ind w:left="426" w:firstLine="282"/>
        <w:rPr>
          <w:noProof/>
        </w:rPr>
      </w:pPr>
      <w:r>
        <w:rPr>
          <w:noProof/>
          <w:position w:val="-24"/>
        </w:rPr>
        <w:object w:dxaOrig="4480" w:dyaOrig="639">
          <v:shape id="_x0000_i1044" type="#_x0000_t75" style="width:224.25pt;height:32.25pt" o:ole="" fillcolor="window">
            <v:imagedata r:id="rId43" o:title=""/>
          </v:shape>
          <o:OLEObject Type="Embed" ProgID="Equation.3" ShapeID="_x0000_i1044" DrawAspect="Content" ObjectID="_1540038343" r:id="rId44"/>
        </w:object>
      </w:r>
    </w:p>
    <w:p w:rsidR="0039225C" w:rsidRDefault="0039225C" w:rsidP="0039225C">
      <w:pPr>
        <w:pStyle w:val="Tekstpodstawowywcity"/>
        <w:ind w:left="0"/>
        <w:rPr>
          <w:noProof/>
        </w:rPr>
      </w:pPr>
      <w:r>
        <w:rPr>
          <w:noProof/>
        </w:rPr>
        <w:t>Aby osiągnąć próg rentowności przy nowej cenie należy sprzedać 3.367 szt. zabawek.</w:t>
      </w:r>
    </w:p>
    <w:p w:rsidR="00146EB5" w:rsidRDefault="00606901"/>
    <w:sectPr w:rsidR="0014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26B8D"/>
    <w:multiLevelType w:val="singleLevel"/>
    <w:tmpl w:val="A6BCE98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C"/>
    <w:rsid w:val="0039225C"/>
    <w:rsid w:val="00606901"/>
    <w:rsid w:val="006323A0"/>
    <w:rsid w:val="00CE69C3"/>
    <w:rsid w:val="00D4771D"/>
    <w:rsid w:val="00D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07D8"/>
  <w15:docId w15:val="{77418341-17FE-4D85-8BF5-08CE2EAA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922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9225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9225C"/>
    <w:pPr>
      <w:spacing w:after="0" w:line="360" w:lineRule="auto"/>
      <w:ind w:left="35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22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Tanska</dc:creator>
  <cp:lastModifiedBy>Tanska</cp:lastModifiedBy>
  <cp:revision>2</cp:revision>
  <cp:lastPrinted>2015-11-04T06:42:00Z</cp:lastPrinted>
  <dcterms:created xsi:type="dcterms:W3CDTF">2015-11-04T06:42:00Z</dcterms:created>
  <dcterms:modified xsi:type="dcterms:W3CDTF">2016-11-07T14:39:00Z</dcterms:modified>
</cp:coreProperties>
</file>