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257" w:rsidRDefault="002924AC" w:rsidP="00100EF2">
      <w:pPr>
        <w:pStyle w:val="Nagwek1"/>
        <w:contextualSpacing/>
      </w:pPr>
      <w:bookmarkStart w:id="0" w:name="_Toc419106917"/>
      <w:bookmarkStart w:id="1" w:name="_GoBack"/>
      <w:bookmarkEnd w:id="1"/>
      <w:r>
        <w:t xml:space="preserve">Konspekt zajęć -  </w:t>
      </w:r>
      <w:r w:rsidR="00A07BED">
        <w:t>5</w:t>
      </w:r>
      <w:r>
        <w:t>.</w:t>
      </w:r>
      <w:r w:rsidR="00100EF2" w:rsidRPr="00100EF2">
        <w:t xml:space="preserve"> </w:t>
      </w:r>
      <w:r w:rsidR="00A07BED">
        <w:t>Ewidencja środkami trwałymi w gminie</w:t>
      </w:r>
      <w:r>
        <w:t>.</w:t>
      </w:r>
      <w:bookmarkEnd w:id="0"/>
    </w:p>
    <w:p w:rsidR="002924AC" w:rsidRDefault="002924AC" w:rsidP="00DA6070">
      <w:pPr>
        <w:contextualSpacing/>
      </w:pPr>
    </w:p>
    <w:p w:rsidR="002924AC" w:rsidRDefault="002924AC" w:rsidP="00DA6070">
      <w:pPr>
        <w:contextualSpacing/>
      </w:pPr>
      <w:r>
        <w:t>Czas trwania zajęć: 1,5 godziny.</w:t>
      </w:r>
    </w:p>
    <w:p w:rsidR="00A44F4F" w:rsidRDefault="00A44F4F" w:rsidP="00DA6070">
      <w:pPr>
        <w:contextualSpacing/>
      </w:pPr>
      <w:r>
        <w:t>Prowadzący:</w:t>
      </w:r>
    </w:p>
    <w:p w:rsidR="00A44F4F" w:rsidRDefault="00A44F4F" w:rsidP="00DA6070">
      <w:pPr>
        <w:contextualSpacing/>
      </w:pPr>
      <w:r>
        <w:t>Data:</w:t>
      </w:r>
    </w:p>
    <w:p w:rsidR="00A44F4F" w:rsidRDefault="00A44F4F" w:rsidP="00DA6070">
      <w:pPr>
        <w:contextualSpacing/>
      </w:pPr>
      <w:r>
        <w:t>Temat:</w:t>
      </w:r>
      <w:r w:rsidR="00590A9B" w:rsidRPr="00590A9B">
        <w:t xml:space="preserve"> </w:t>
      </w:r>
      <w:r w:rsidR="00367DD6">
        <w:t>projekt budżetu gminy wg klasyfikacji budżetowej.</w:t>
      </w:r>
    </w:p>
    <w:p w:rsidR="00A44F4F" w:rsidRDefault="00A44F4F" w:rsidP="00DA6070">
      <w:pPr>
        <w:contextualSpacing/>
      </w:pPr>
      <w:r>
        <w:t xml:space="preserve">Forma: </w:t>
      </w:r>
      <w:r w:rsidR="00590A9B">
        <w:t>ćwiczenia</w:t>
      </w:r>
      <w:r>
        <w:t>.</w:t>
      </w:r>
    </w:p>
    <w:p w:rsidR="00A44F4F" w:rsidRDefault="00590A9B" w:rsidP="00DA6070">
      <w:pPr>
        <w:contextualSpacing/>
      </w:pPr>
      <w:r>
        <w:t>Cele edukacyjne.</w:t>
      </w:r>
    </w:p>
    <w:p w:rsidR="00590A9B" w:rsidRDefault="00590A9B" w:rsidP="00DA6070">
      <w:pPr>
        <w:contextualSpacing/>
      </w:pPr>
      <w:r>
        <w:tab/>
        <w:t xml:space="preserve">Ogólne: </w:t>
      </w:r>
      <w:r w:rsidR="00A07BED">
        <w:t>zapoznanie z modułem Środki trwałe</w:t>
      </w:r>
      <w:r>
        <w:t>.</w:t>
      </w:r>
    </w:p>
    <w:p w:rsidR="00590A9B" w:rsidRDefault="00590A9B" w:rsidP="00DA6070">
      <w:pPr>
        <w:contextualSpacing/>
      </w:pPr>
      <w:r>
        <w:tab/>
        <w:t>Szczegółowe:</w:t>
      </w:r>
    </w:p>
    <w:p w:rsidR="00590A9B" w:rsidRDefault="00A07BED" w:rsidP="00DA6070">
      <w:pPr>
        <w:pStyle w:val="Akapitzlist"/>
        <w:numPr>
          <w:ilvl w:val="0"/>
          <w:numId w:val="2"/>
        </w:numPr>
      </w:pPr>
      <w:r>
        <w:t>Prowadzenie ewidencji środków trwałych</w:t>
      </w:r>
      <w:r w:rsidR="00DA6070">
        <w:t>.</w:t>
      </w:r>
    </w:p>
    <w:p w:rsidR="00EE2788" w:rsidRDefault="00A07BED" w:rsidP="00EE2788">
      <w:pPr>
        <w:pStyle w:val="Akapitzlist"/>
        <w:numPr>
          <w:ilvl w:val="0"/>
          <w:numId w:val="2"/>
        </w:numPr>
      </w:pPr>
      <w:r>
        <w:t>Dodawanie nowych środków trwałych</w:t>
      </w:r>
      <w:r w:rsidR="00A0262D">
        <w:t>.</w:t>
      </w:r>
    </w:p>
    <w:p w:rsidR="00A0262D" w:rsidRDefault="00A07BED" w:rsidP="00DA6070">
      <w:pPr>
        <w:pStyle w:val="Akapitzlist"/>
        <w:numPr>
          <w:ilvl w:val="0"/>
          <w:numId w:val="2"/>
        </w:numPr>
      </w:pPr>
      <w:r>
        <w:t>Tworzenie grup środków trwałych</w:t>
      </w:r>
      <w:r w:rsidR="00A0262D">
        <w:t>.</w:t>
      </w:r>
    </w:p>
    <w:p w:rsidR="00EE2788" w:rsidRDefault="00A07BED" w:rsidP="00DA6070">
      <w:pPr>
        <w:pStyle w:val="Akapitzlist"/>
        <w:numPr>
          <w:ilvl w:val="0"/>
          <w:numId w:val="2"/>
        </w:numPr>
      </w:pPr>
      <w:r>
        <w:t>Przegląd danych środków trwałych</w:t>
      </w:r>
      <w:r w:rsidR="00EE2788">
        <w:t>.</w:t>
      </w:r>
    </w:p>
    <w:p w:rsidR="00DA6070" w:rsidRPr="00590A9B" w:rsidRDefault="00DA6070" w:rsidP="00DA6070">
      <w:pPr>
        <w:contextualSpacing/>
      </w:pPr>
    </w:p>
    <w:p w:rsidR="00A44F4F" w:rsidRDefault="00A44F4F" w:rsidP="00DA6070">
      <w:pPr>
        <w:contextualSpacing/>
        <w:rPr>
          <w:i/>
        </w:rPr>
      </w:pPr>
      <w:r>
        <w:t xml:space="preserve">Pytania pomocnicze: </w:t>
      </w:r>
      <w:r w:rsidR="002F62A6">
        <w:rPr>
          <w:i/>
        </w:rPr>
        <w:t>brak</w:t>
      </w:r>
    </w:p>
    <w:p w:rsidR="00A44F4F" w:rsidRDefault="00A44F4F" w:rsidP="00DA6070">
      <w:pPr>
        <w:contextualSpacing/>
      </w:pPr>
      <w:r>
        <w:t>Przebieg zajęć:</w:t>
      </w:r>
    </w:p>
    <w:p w:rsidR="00A44F4F" w:rsidRDefault="002F62A6" w:rsidP="00DA6070">
      <w:pPr>
        <w:pStyle w:val="Akapitzlist"/>
        <w:numPr>
          <w:ilvl w:val="0"/>
          <w:numId w:val="1"/>
        </w:numPr>
      </w:pPr>
      <w:r>
        <w:t xml:space="preserve">Wstęp – </w:t>
      </w:r>
      <w:r w:rsidR="00A07BED">
        <w:t>wprowadzenie do ewidencji środków trwałych w gminie</w:t>
      </w:r>
      <w:r>
        <w:t>.</w:t>
      </w:r>
    </w:p>
    <w:p w:rsidR="00367DD6" w:rsidRDefault="00367DD6" w:rsidP="00DA6070">
      <w:pPr>
        <w:pStyle w:val="Akapitzlist"/>
        <w:numPr>
          <w:ilvl w:val="0"/>
          <w:numId w:val="1"/>
        </w:numPr>
      </w:pPr>
      <w:r>
        <w:t xml:space="preserve">Omówienie </w:t>
      </w:r>
      <w:r w:rsidR="005301CB">
        <w:t>konfiguracji modułu</w:t>
      </w:r>
      <w:r>
        <w:t>.</w:t>
      </w:r>
    </w:p>
    <w:p w:rsidR="00A44F4F" w:rsidRDefault="005301CB" w:rsidP="00DA6070">
      <w:pPr>
        <w:pStyle w:val="Akapitzlist"/>
        <w:numPr>
          <w:ilvl w:val="0"/>
          <w:numId w:val="1"/>
        </w:numPr>
      </w:pPr>
      <w:r>
        <w:t>Omówienie i wykonanie dodawania środków trwałych do systemu</w:t>
      </w:r>
      <w:r w:rsidR="002F62A6">
        <w:t>.</w:t>
      </w:r>
    </w:p>
    <w:p w:rsidR="00A44F4F" w:rsidRDefault="005301CB" w:rsidP="00DA6070">
      <w:pPr>
        <w:pStyle w:val="Akapitzlist"/>
        <w:numPr>
          <w:ilvl w:val="0"/>
          <w:numId w:val="1"/>
        </w:numPr>
      </w:pPr>
      <w:r>
        <w:t>Omówienie i wykonanie tworzenia grup środków trwałych</w:t>
      </w:r>
      <w:r w:rsidR="002F62A6">
        <w:t>.</w:t>
      </w:r>
    </w:p>
    <w:p w:rsidR="00EE2788" w:rsidRDefault="005301CB" w:rsidP="00DA6070">
      <w:pPr>
        <w:pStyle w:val="Akapitzlist"/>
        <w:numPr>
          <w:ilvl w:val="0"/>
          <w:numId w:val="1"/>
        </w:numPr>
      </w:pPr>
      <w:r>
        <w:t>Zapoznanie się z przeglądem środków trwałych</w:t>
      </w:r>
      <w:r w:rsidR="00EE2788">
        <w:t>.</w:t>
      </w:r>
    </w:p>
    <w:p w:rsidR="00DC592D" w:rsidRDefault="00DC592D" w:rsidP="00DC592D">
      <w:r>
        <w:t>Przebieg alternatywny:</w:t>
      </w:r>
      <w:r w:rsidR="00367DD6">
        <w:t xml:space="preserve"> brak.</w:t>
      </w:r>
    </w:p>
    <w:p w:rsidR="004D08E7" w:rsidRDefault="004D08E7" w:rsidP="00367DD6">
      <w:pPr>
        <w:pStyle w:val="Akapitzlist"/>
      </w:pPr>
    </w:p>
    <w:p w:rsidR="005B0E0E" w:rsidRDefault="005B0E0E" w:rsidP="005B0E0E"/>
    <w:sdt>
      <w:sdtPr>
        <w:rPr>
          <w:rFonts w:asciiTheme="minorHAnsi" w:eastAsiaTheme="minorHAnsi" w:hAnsiTheme="minorHAnsi" w:cstheme="minorBidi"/>
          <w:color w:val="auto"/>
          <w:sz w:val="22"/>
          <w:szCs w:val="22"/>
          <w:lang w:eastAsia="en-US"/>
        </w:rPr>
        <w:id w:val="403108715"/>
        <w:docPartObj>
          <w:docPartGallery w:val="Table of Contents"/>
          <w:docPartUnique/>
        </w:docPartObj>
      </w:sdtPr>
      <w:sdtEndPr>
        <w:rPr>
          <w:b/>
          <w:bCs/>
        </w:rPr>
      </w:sdtEndPr>
      <w:sdtContent>
        <w:p w:rsidR="005B0E0E" w:rsidRDefault="005B0E0E">
          <w:pPr>
            <w:pStyle w:val="Nagwekspisutreci"/>
          </w:pPr>
          <w:r>
            <w:t>Spis treści</w:t>
          </w:r>
        </w:p>
        <w:p w:rsidR="00717497" w:rsidRDefault="00E75CC9">
          <w:pPr>
            <w:pStyle w:val="Spistreci1"/>
            <w:tabs>
              <w:tab w:val="right" w:leader="dot" w:pos="9062"/>
            </w:tabs>
            <w:rPr>
              <w:rFonts w:eastAsiaTheme="minorEastAsia"/>
              <w:noProof/>
              <w:lang w:eastAsia="pl-PL"/>
            </w:rPr>
          </w:pPr>
          <w:r>
            <w:fldChar w:fldCharType="begin"/>
          </w:r>
          <w:r w:rsidR="005B0E0E">
            <w:instrText xml:space="preserve"> TOC \o "1-3" \h \z \u </w:instrText>
          </w:r>
          <w:r>
            <w:fldChar w:fldCharType="separate"/>
          </w:r>
          <w:hyperlink w:anchor="_Toc419106917" w:history="1">
            <w:r w:rsidR="00717497" w:rsidRPr="005750F7">
              <w:rPr>
                <w:rStyle w:val="Hipercze"/>
                <w:noProof/>
              </w:rPr>
              <w:t>Konspekt zajęć -  5. Ewidencja środkami trwałymi w gminie.</w:t>
            </w:r>
            <w:r w:rsidR="00717497">
              <w:rPr>
                <w:noProof/>
                <w:webHidden/>
              </w:rPr>
              <w:tab/>
            </w:r>
            <w:r w:rsidR="00717497">
              <w:rPr>
                <w:noProof/>
                <w:webHidden/>
              </w:rPr>
              <w:fldChar w:fldCharType="begin"/>
            </w:r>
            <w:r w:rsidR="00717497">
              <w:rPr>
                <w:noProof/>
                <w:webHidden/>
              </w:rPr>
              <w:instrText xml:space="preserve"> PAGEREF _Toc419106917 \h </w:instrText>
            </w:r>
            <w:r w:rsidR="00717497">
              <w:rPr>
                <w:noProof/>
                <w:webHidden/>
              </w:rPr>
            </w:r>
            <w:r w:rsidR="00717497">
              <w:rPr>
                <w:noProof/>
                <w:webHidden/>
              </w:rPr>
              <w:fldChar w:fldCharType="separate"/>
            </w:r>
            <w:r w:rsidR="00F8394E">
              <w:rPr>
                <w:noProof/>
                <w:webHidden/>
              </w:rPr>
              <w:t>1</w:t>
            </w:r>
            <w:r w:rsidR="00717497">
              <w:rPr>
                <w:noProof/>
                <w:webHidden/>
              </w:rPr>
              <w:fldChar w:fldCharType="end"/>
            </w:r>
          </w:hyperlink>
        </w:p>
        <w:p w:rsidR="00717497" w:rsidRDefault="00451E9D">
          <w:pPr>
            <w:pStyle w:val="Spistreci1"/>
            <w:tabs>
              <w:tab w:val="right" w:leader="dot" w:pos="9062"/>
            </w:tabs>
            <w:rPr>
              <w:rFonts w:eastAsiaTheme="minorEastAsia"/>
              <w:noProof/>
              <w:lang w:eastAsia="pl-PL"/>
            </w:rPr>
          </w:pPr>
          <w:hyperlink w:anchor="_Toc419106918" w:history="1">
            <w:r w:rsidR="00717497" w:rsidRPr="005750F7">
              <w:rPr>
                <w:rStyle w:val="Hipercze"/>
                <w:noProof/>
              </w:rPr>
              <w:t>Przebieg ćwiczeń i treść merytoryczna.</w:t>
            </w:r>
            <w:r w:rsidR="00717497">
              <w:rPr>
                <w:noProof/>
                <w:webHidden/>
              </w:rPr>
              <w:tab/>
            </w:r>
            <w:r w:rsidR="00717497">
              <w:rPr>
                <w:noProof/>
                <w:webHidden/>
              </w:rPr>
              <w:fldChar w:fldCharType="begin"/>
            </w:r>
            <w:r w:rsidR="00717497">
              <w:rPr>
                <w:noProof/>
                <w:webHidden/>
              </w:rPr>
              <w:instrText xml:space="preserve"> PAGEREF _Toc419106918 \h </w:instrText>
            </w:r>
            <w:r w:rsidR="00717497">
              <w:rPr>
                <w:noProof/>
                <w:webHidden/>
              </w:rPr>
            </w:r>
            <w:r w:rsidR="00717497">
              <w:rPr>
                <w:noProof/>
                <w:webHidden/>
              </w:rPr>
              <w:fldChar w:fldCharType="separate"/>
            </w:r>
            <w:r w:rsidR="00F8394E">
              <w:rPr>
                <w:noProof/>
                <w:webHidden/>
              </w:rPr>
              <w:t>2</w:t>
            </w:r>
            <w:r w:rsidR="00717497">
              <w:rPr>
                <w:noProof/>
                <w:webHidden/>
              </w:rPr>
              <w:fldChar w:fldCharType="end"/>
            </w:r>
          </w:hyperlink>
        </w:p>
        <w:p w:rsidR="00717497" w:rsidRDefault="00451E9D">
          <w:pPr>
            <w:pStyle w:val="Spistreci2"/>
            <w:tabs>
              <w:tab w:val="right" w:leader="dot" w:pos="9062"/>
            </w:tabs>
            <w:rPr>
              <w:rFonts w:eastAsiaTheme="minorEastAsia"/>
              <w:noProof/>
              <w:lang w:eastAsia="pl-PL"/>
            </w:rPr>
          </w:pPr>
          <w:hyperlink w:anchor="_Toc419106919" w:history="1">
            <w:r w:rsidR="00717497" w:rsidRPr="005750F7">
              <w:rPr>
                <w:rStyle w:val="Hipercze"/>
                <w:noProof/>
              </w:rPr>
              <w:t>Wstęp – wprowadzenie do modułu Środki trwałe</w:t>
            </w:r>
            <w:r w:rsidR="00717497">
              <w:rPr>
                <w:noProof/>
                <w:webHidden/>
              </w:rPr>
              <w:tab/>
            </w:r>
            <w:r w:rsidR="00717497">
              <w:rPr>
                <w:noProof/>
                <w:webHidden/>
              </w:rPr>
              <w:fldChar w:fldCharType="begin"/>
            </w:r>
            <w:r w:rsidR="00717497">
              <w:rPr>
                <w:noProof/>
                <w:webHidden/>
              </w:rPr>
              <w:instrText xml:space="preserve"> PAGEREF _Toc419106919 \h </w:instrText>
            </w:r>
            <w:r w:rsidR="00717497">
              <w:rPr>
                <w:noProof/>
                <w:webHidden/>
              </w:rPr>
            </w:r>
            <w:r w:rsidR="00717497">
              <w:rPr>
                <w:noProof/>
                <w:webHidden/>
              </w:rPr>
              <w:fldChar w:fldCharType="separate"/>
            </w:r>
            <w:r w:rsidR="00F8394E">
              <w:rPr>
                <w:noProof/>
                <w:webHidden/>
              </w:rPr>
              <w:t>2</w:t>
            </w:r>
            <w:r w:rsidR="00717497">
              <w:rPr>
                <w:noProof/>
                <w:webHidden/>
              </w:rPr>
              <w:fldChar w:fldCharType="end"/>
            </w:r>
          </w:hyperlink>
        </w:p>
        <w:p w:rsidR="00717497" w:rsidRDefault="00451E9D">
          <w:pPr>
            <w:pStyle w:val="Spistreci2"/>
            <w:tabs>
              <w:tab w:val="right" w:leader="dot" w:pos="9062"/>
            </w:tabs>
            <w:rPr>
              <w:rFonts w:eastAsiaTheme="minorEastAsia"/>
              <w:noProof/>
              <w:lang w:eastAsia="pl-PL"/>
            </w:rPr>
          </w:pPr>
          <w:hyperlink w:anchor="_Toc419106920" w:history="1">
            <w:r w:rsidR="00717497" w:rsidRPr="005750F7">
              <w:rPr>
                <w:rStyle w:val="Hipercze"/>
                <w:noProof/>
              </w:rPr>
              <w:t>Konfiguracja modułu</w:t>
            </w:r>
            <w:r w:rsidR="00717497">
              <w:rPr>
                <w:noProof/>
                <w:webHidden/>
              </w:rPr>
              <w:tab/>
            </w:r>
            <w:r w:rsidR="00717497">
              <w:rPr>
                <w:noProof/>
                <w:webHidden/>
              </w:rPr>
              <w:fldChar w:fldCharType="begin"/>
            </w:r>
            <w:r w:rsidR="00717497">
              <w:rPr>
                <w:noProof/>
                <w:webHidden/>
              </w:rPr>
              <w:instrText xml:space="preserve"> PAGEREF _Toc419106920 \h </w:instrText>
            </w:r>
            <w:r w:rsidR="00717497">
              <w:rPr>
                <w:noProof/>
                <w:webHidden/>
              </w:rPr>
            </w:r>
            <w:r w:rsidR="00717497">
              <w:rPr>
                <w:noProof/>
                <w:webHidden/>
              </w:rPr>
              <w:fldChar w:fldCharType="separate"/>
            </w:r>
            <w:r w:rsidR="00F8394E">
              <w:rPr>
                <w:noProof/>
                <w:webHidden/>
              </w:rPr>
              <w:t>2</w:t>
            </w:r>
            <w:r w:rsidR="00717497">
              <w:rPr>
                <w:noProof/>
                <w:webHidden/>
              </w:rPr>
              <w:fldChar w:fldCharType="end"/>
            </w:r>
          </w:hyperlink>
        </w:p>
        <w:p w:rsidR="00717497" w:rsidRDefault="00451E9D">
          <w:pPr>
            <w:pStyle w:val="Spistreci2"/>
            <w:tabs>
              <w:tab w:val="right" w:leader="dot" w:pos="9062"/>
            </w:tabs>
            <w:rPr>
              <w:rFonts w:eastAsiaTheme="minorEastAsia"/>
              <w:noProof/>
              <w:lang w:eastAsia="pl-PL"/>
            </w:rPr>
          </w:pPr>
          <w:hyperlink w:anchor="_Toc419106921" w:history="1">
            <w:r w:rsidR="00717497" w:rsidRPr="005750F7">
              <w:rPr>
                <w:rStyle w:val="Hipercze"/>
                <w:noProof/>
              </w:rPr>
              <w:t>Dodawanie nowych środków trwałych</w:t>
            </w:r>
            <w:r w:rsidR="00717497">
              <w:rPr>
                <w:noProof/>
                <w:webHidden/>
              </w:rPr>
              <w:tab/>
            </w:r>
            <w:r w:rsidR="00717497">
              <w:rPr>
                <w:noProof/>
                <w:webHidden/>
              </w:rPr>
              <w:fldChar w:fldCharType="begin"/>
            </w:r>
            <w:r w:rsidR="00717497">
              <w:rPr>
                <w:noProof/>
                <w:webHidden/>
              </w:rPr>
              <w:instrText xml:space="preserve"> PAGEREF _Toc419106921 \h </w:instrText>
            </w:r>
            <w:r w:rsidR="00717497">
              <w:rPr>
                <w:noProof/>
                <w:webHidden/>
              </w:rPr>
            </w:r>
            <w:r w:rsidR="00717497">
              <w:rPr>
                <w:noProof/>
                <w:webHidden/>
              </w:rPr>
              <w:fldChar w:fldCharType="separate"/>
            </w:r>
            <w:r w:rsidR="00F8394E">
              <w:rPr>
                <w:noProof/>
                <w:webHidden/>
              </w:rPr>
              <w:t>4</w:t>
            </w:r>
            <w:r w:rsidR="00717497">
              <w:rPr>
                <w:noProof/>
                <w:webHidden/>
              </w:rPr>
              <w:fldChar w:fldCharType="end"/>
            </w:r>
          </w:hyperlink>
        </w:p>
        <w:p w:rsidR="00717497" w:rsidRDefault="00451E9D">
          <w:pPr>
            <w:pStyle w:val="Spistreci2"/>
            <w:tabs>
              <w:tab w:val="right" w:leader="dot" w:pos="9062"/>
            </w:tabs>
            <w:rPr>
              <w:rFonts w:eastAsiaTheme="minorEastAsia"/>
              <w:noProof/>
              <w:lang w:eastAsia="pl-PL"/>
            </w:rPr>
          </w:pPr>
          <w:hyperlink w:anchor="_Toc419106922" w:history="1">
            <w:r w:rsidR="00717497" w:rsidRPr="005750F7">
              <w:rPr>
                <w:rStyle w:val="Hipercze"/>
                <w:noProof/>
              </w:rPr>
              <w:t>Tworzenie grup środków trwałych</w:t>
            </w:r>
            <w:r w:rsidR="00717497">
              <w:rPr>
                <w:noProof/>
                <w:webHidden/>
              </w:rPr>
              <w:tab/>
            </w:r>
            <w:r w:rsidR="00717497">
              <w:rPr>
                <w:noProof/>
                <w:webHidden/>
              </w:rPr>
              <w:fldChar w:fldCharType="begin"/>
            </w:r>
            <w:r w:rsidR="00717497">
              <w:rPr>
                <w:noProof/>
                <w:webHidden/>
              </w:rPr>
              <w:instrText xml:space="preserve"> PAGEREF _Toc419106922 \h </w:instrText>
            </w:r>
            <w:r w:rsidR="00717497">
              <w:rPr>
                <w:noProof/>
                <w:webHidden/>
              </w:rPr>
            </w:r>
            <w:r w:rsidR="00717497">
              <w:rPr>
                <w:noProof/>
                <w:webHidden/>
              </w:rPr>
              <w:fldChar w:fldCharType="separate"/>
            </w:r>
            <w:r w:rsidR="00F8394E">
              <w:rPr>
                <w:noProof/>
                <w:webHidden/>
              </w:rPr>
              <w:t>10</w:t>
            </w:r>
            <w:r w:rsidR="00717497">
              <w:rPr>
                <w:noProof/>
                <w:webHidden/>
              </w:rPr>
              <w:fldChar w:fldCharType="end"/>
            </w:r>
          </w:hyperlink>
        </w:p>
        <w:p w:rsidR="00717497" w:rsidRDefault="00451E9D">
          <w:pPr>
            <w:pStyle w:val="Spistreci2"/>
            <w:tabs>
              <w:tab w:val="right" w:leader="dot" w:pos="9062"/>
            </w:tabs>
            <w:rPr>
              <w:rFonts w:eastAsiaTheme="minorEastAsia"/>
              <w:noProof/>
              <w:lang w:eastAsia="pl-PL"/>
            </w:rPr>
          </w:pPr>
          <w:hyperlink w:anchor="_Toc419106923" w:history="1">
            <w:r w:rsidR="00717497" w:rsidRPr="005750F7">
              <w:rPr>
                <w:rStyle w:val="Hipercze"/>
                <w:noProof/>
              </w:rPr>
              <w:t>Przegląd danych środków trwałych</w:t>
            </w:r>
            <w:r w:rsidR="00717497">
              <w:rPr>
                <w:noProof/>
                <w:webHidden/>
              </w:rPr>
              <w:tab/>
            </w:r>
            <w:r w:rsidR="00717497">
              <w:rPr>
                <w:noProof/>
                <w:webHidden/>
              </w:rPr>
              <w:fldChar w:fldCharType="begin"/>
            </w:r>
            <w:r w:rsidR="00717497">
              <w:rPr>
                <w:noProof/>
                <w:webHidden/>
              </w:rPr>
              <w:instrText xml:space="preserve"> PAGEREF _Toc419106923 \h </w:instrText>
            </w:r>
            <w:r w:rsidR="00717497">
              <w:rPr>
                <w:noProof/>
                <w:webHidden/>
              </w:rPr>
            </w:r>
            <w:r w:rsidR="00717497">
              <w:rPr>
                <w:noProof/>
                <w:webHidden/>
              </w:rPr>
              <w:fldChar w:fldCharType="separate"/>
            </w:r>
            <w:r w:rsidR="00F8394E">
              <w:rPr>
                <w:noProof/>
                <w:webHidden/>
              </w:rPr>
              <w:t>12</w:t>
            </w:r>
            <w:r w:rsidR="00717497">
              <w:rPr>
                <w:noProof/>
                <w:webHidden/>
              </w:rPr>
              <w:fldChar w:fldCharType="end"/>
            </w:r>
          </w:hyperlink>
        </w:p>
        <w:p w:rsidR="005B0E0E" w:rsidRDefault="00E75CC9">
          <w:r>
            <w:rPr>
              <w:b/>
              <w:bCs/>
            </w:rPr>
            <w:fldChar w:fldCharType="end"/>
          </w:r>
        </w:p>
      </w:sdtContent>
    </w:sdt>
    <w:p w:rsidR="005B0E0E" w:rsidRDefault="005B0E0E" w:rsidP="005B0E0E"/>
    <w:p w:rsidR="00A44F4F" w:rsidRDefault="00DA6070" w:rsidP="00BE4EF9">
      <w:pPr>
        <w:pStyle w:val="Nagwek1"/>
      </w:pPr>
      <w:bookmarkStart w:id="2" w:name="_Toc419106918"/>
      <w:r>
        <w:lastRenderedPageBreak/>
        <w:t>Przebieg ćwiczeń i treść merytoryczna</w:t>
      </w:r>
      <w:r w:rsidR="0016005D">
        <w:t>.</w:t>
      </w:r>
      <w:bookmarkEnd w:id="2"/>
    </w:p>
    <w:p w:rsidR="00CE06EF" w:rsidRDefault="00367DD6" w:rsidP="00CE06EF">
      <w:pPr>
        <w:pStyle w:val="Nagwek2"/>
      </w:pPr>
      <w:bookmarkStart w:id="3" w:name="_Toc419106919"/>
      <w:r>
        <w:t xml:space="preserve">Wstęp – </w:t>
      </w:r>
      <w:r w:rsidR="00CE06EF">
        <w:t>wprowadzenie do modułu Środki trwałe</w:t>
      </w:r>
      <w:bookmarkEnd w:id="3"/>
    </w:p>
    <w:p w:rsidR="00CE06EF" w:rsidRDefault="00CE06EF" w:rsidP="00CE06EF">
      <w:pPr>
        <w:jc w:val="both"/>
      </w:pPr>
      <w:r w:rsidRPr="00CE06EF">
        <w:t>Moduł Środki Trwałe służy do prowadzenia ewidencji szczegółowej środków trwałych, wyposażenia oraz wartości niematerialnych i prawnych, w celu utrzymania aktualnej części księgowości zgodnie z Ustawą o rachunko</w:t>
      </w:r>
      <w:r w:rsidR="00261406">
        <w:t xml:space="preserve">wości z dnia 29.09.1994 r. z </w:t>
      </w:r>
      <w:proofErr w:type="spellStart"/>
      <w:r w:rsidR="00261406">
        <w:t>póź</w:t>
      </w:r>
      <w:r w:rsidRPr="00CE06EF">
        <w:t>n</w:t>
      </w:r>
      <w:proofErr w:type="spellEnd"/>
      <w:r w:rsidRPr="00CE06EF">
        <w:t>. zm. (</w:t>
      </w:r>
      <w:proofErr w:type="spellStart"/>
      <w:r w:rsidRPr="00CE06EF">
        <w:t>Dz.U</w:t>
      </w:r>
      <w:proofErr w:type="spellEnd"/>
      <w:r w:rsidRPr="00CE06EF">
        <w:t>. 1994 Nr 121 poz. 591), oraz na cele rozliczeniowe z urzędem GUS przez odpowiednie sprawozdania (SG-01) lub możliwość uzyskania w prosty sposób danych wymaganych do uzupełnienia tych sprawozdań. System ten ma możliwość przesyłać (automatycznie) dane do systemu finansowego, a tam w prosty sposób zaksięgować te dane na odpowiednich kontach księgowych. Dzięki takim rozwiązaniom, w systemie finansowym dane są aktualne i poprawne, ponieważ są dokładnie tymi samymi danymi, które znajdują się w systemie Środki Trwałe. To niweluje potrzebę uzgadniania danych znajdujących się w tych systemach.</w:t>
      </w:r>
    </w:p>
    <w:p w:rsidR="00CE06EF" w:rsidRDefault="00CE06EF" w:rsidP="00CE06EF">
      <w:pPr>
        <w:jc w:val="both"/>
      </w:pPr>
      <w:r>
        <w:t>Modułu Środki Trwałe jest powiązany na poziomie modułów:</w:t>
      </w:r>
    </w:p>
    <w:p w:rsidR="00CE06EF" w:rsidRDefault="00CE06EF" w:rsidP="00CE06EF">
      <w:pPr>
        <w:jc w:val="both"/>
      </w:pPr>
      <w:r>
        <w:t xml:space="preserve">- Administracja – po wywołaniu opcji Dane systemowe </w:t>
      </w:r>
      <w:r w:rsidR="00773829">
        <w:t>-&gt;</w:t>
      </w:r>
      <w:r>
        <w:t xml:space="preserve"> Jednostki organizacyjne </w:t>
      </w:r>
      <w:r w:rsidR="00773829">
        <w:t>-&gt;</w:t>
      </w:r>
      <w:r>
        <w:t xml:space="preserve"> Modyfikacja na zakładce Pieczątki – ustawiana jest pieczątka, która będzie wyświetlana na wszystkich raportach w module Środki Trwałe.</w:t>
      </w:r>
    </w:p>
    <w:p w:rsidR="00CE06EF" w:rsidRDefault="00CE06EF" w:rsidP="00CE06EF">
      <w:pPr>
        <w:jc w:val="both"/>
      </w:pPr>
      <w:r>
        <w:t>- Kontrahenci – tu uzupełniamy jednostki budżetowe, w ramach których prowadzimy ewidencję szczegółową środków trwałych, wraz z księgowaniem środków w tych jednostkach.</w:t>
      </w:r>
    </w:p>
    <w:p w:rsidR="00CE06EF" w:rsidRDefault="00CE06EF" w:rsidP="00CE06EF">
      <w:pPr>
        <w:jc w:val="both"/>
      </w:pPr>
      <w:r>
        <w:t>Przypisanie dla jednostek budżetowych odpowiednich kodów PKD / PKD 2007 / EKD da możliwość wyboru odpowiedniego kodu działalności gospodarczej (spośród wszystkich kodów przypisanych do tej jednostki) dla rejestrowanego środka trwałego, w ramach ewidencji bieżącej środków trwałych tej jednostki.</w:t>
      </w:r>
    </w:p>
    <w:p w:rsidR="00CE06EF" w:rsidRDefault="00CE06EF" w:rsidP="00CE06EF">
      <w:pPr>
        <w:jc w:val="both"/>
      </w:pPr>
      <w:r>
        <w:t>Również w tym module wprowadzani są pracownicy (przypisanie do grupy „Pracownicy”), którzy będą potencjalnymi osobami odpowiedzialnymi za środki trwałe (automatyczne uzupełnianie słownika Osób odpowiedzialnych).</w:t>
      </w:r>
    </w:p>
    <w:p w:rsidR="00CE06EF" w:rsidRPr="00CE06EF" w:rsidRDefault="00CE06EF" w:rsidP="00CE06EF">
      <w:pPr>
        <w:jc w:val="both"/>
      </w:pPr>
      <w:r>
        <w:t xml:space="preserve">- Finanse i Księgowość – wszystkie operacje wykonane w module środki trwałe, mogą zostać automatycznie przesłane do modułu księgowego i pojawiają się w opcji: System </w:t>
      </w:r>
      <w:r w:rsidR="00773829">
        <w:t>-&gt;</w:t>
      </w:r>
      <w:r>
        <w:t xml:space="preserve"> FK </w:t>
      </w:r>
      <w:r w:rsidR="00773829">
        <w:t>-&gt;</w:t>
      </w:r>
      <w:r>
        <w:t xml:space="preserve"> Wybór kontekstu FK (dla odpowiedniej jednostki budżetowej zdefiniowanej w kontrahencie i przypisanej do odpowiedniego zakładu, w ramach której księgujemy środki trwałe) </w:t>
      </w:r>
      <w:r w:rsidR="00773829">
        <w:t>-&gt;</w:t>
      </w:r>
      <w:r>
        <w:t xml:space="preserve"> Dekrety </w:t>
      </w:r>
      <w:r w:rsidR="00773829">
        <w:t>-&gt;</w:t>
      </w:r>
      <w:r>
        <w:t xml:space="preserve"> Importy dekretów. Z poziomu modułu FK, można księgować te informacje jako dokumenty Polecenia Księgowania.</w:t>
      </w:r>
    </w:p>
    <w:p w:rsidR="00CE06EF" w:rsidRDefault="00CE06EF" w:rsidP="00EE67A0">
      <w:pPr>
        <w:pStyle w:val="Nagwek2"/>
      </w:pPr>
      <w:bookmarkStart w:id="4" w:name="_Toc419106920"/>
      <w:r>
        <w:t>Konfiguracja modułu</w:t>
      </w:r>
      <w:bookmarkEnd w:id="4"/>
    </w:p>
    <w:p w:rsidR="00CE06EF" w:rsidRDefault="00CE06EF" w:rsidP="00CE06EF">
      <w:r>
        <w:t>W pierwszej kolejności należy uzupełnić kody PKD jednostki.</w:t>
      </w:r>
    </w:p>
    <w:p w:rsidR="00CE06EF" w:rsidRDefault="00CE06EF" w:rsidP="00CE06EF">
      <w:r w:rsidRPr="00CE06EF">
        <w:rPr>
          <w:noProof/>
          <w:lang w:eastAsia="pl-PL"/>
        </w:rPr>
        <w:drawing>
          <wp:inline distT="0" distB="0" distL="0" distR="0" wp14:anchorId="2717CA69" wp14:editId="56BCE001">
            <wp:extent cx="3789273" cy="2032931"/>
            <wp:effectExtent l="0" t="0" r="1905" b="57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671" cy="2041728"/>
                    </a:xfrm>
                    <a:prstGeom prst="rect">
                      <a:avLst/>
                    </a:prstGeom>
                  </pic:spPr>
                </pic:pic>
              </a:graphicData>
            </a:graphic>
          </wp:inline>
        </w:drawing>
      </w:r>
    </w:p>
    <w:p w:rsidR="00CE06EF" w:rsidRDefault="00CE06EF" w:rsidP="00CE06EF">
      <w:pPr>
        <w:jc w:val="both"/>
      </w:pPr>
      <w:r w:rsidRPr="00CE06EF">
        <w:lastRenderedPageBreak/>
        <w:t>Kody PKD dla naszej jednostki uzupełnia się w module Kontrahent</w:t>
      </w:r>
      <w:r>
        <w:t xml:space="preserve"> – rodzaje działalności (Kontrahenci -&gt; Słowniki -&gt; Klasyfikacje działalności</w:t>
      </w:r>
      <w:r w:rsidRPr="00CE06EF">
        <w:t>. W pierwszej kolejności  należy ją wyszukać, a następnie zaznaczyć i wybrać przycisk {Szczegóły}. Następnie w zakładce |Rodzaje działalności| za pomocą przycisku {Dodaj} dodajemy występujące w jednostce kody PKD.</w:t>
      </w:r>
    </w:p>
    <w:p w:rsidR="00CE06EF" w:rsidRDefault="00CE06EF" w:rsidP="00CE06EF">
      <w:pPr>
        <w:jc w:val="both"/>
      </w:pPr>
      <w:r w:rsidRPr="00CE06EF">
        <w:t>Każdy środek trwały  wprowadzany do modułu Środki trwałe musi zawierać informacje o osobie odpowiedzialnej za niego. Osoby odpowiedzialne muszą być  uprzednio wprowadzone do systemu jako kontrahenci w grupie kontrahenckiej Pracownicy.</w:t>
      </w:r>
      <w:r>
        <w:t xml:space="preserve"> Po wprowadzeniu tych osób i oznaczeniu ich w odpowiedniej grupie zostaną one wyświetlone w słowniku Środki trwałe -&gt; Słowniki -&gt; Osoby odpowiedzialne.</w:t>
      </w:r>
    </w:p>
    <w:p w:rsidR="00CE06EF" w:rsidRDefault="00CE06EF" w:rsidP="00CE06EF">
      <w:pPr>
        <w:jc w:val="both"/>
      </w:pPr>
      <w:r>
        <w:t>Kolejnym krokiem jest założenie zakładów i działów.</w:t>
      </w:r>
    </w:p>
    <w:p w:rsidR="00CE06EF" w:rsidRDefault="00CE06EF" w:rsidP="00CE06EF">
      <w:pPr>
        <w:jc w:val="both"/>
      </w:pPr>
      <w:r w:rsidRPr="00CE06EF">
        <w:rPr>
          <w:noProof/>
          <w:lang w:eastAsia="pl-PL"/>
        </w:rPr>
        <w:drawing>
          <wp:inline distT="0" distB="0" distL="0" distR="0" wp14:anchorId="26EA799B" wp14:editId="0C47F0B9">
            <wp:extent cx="3855110" cy="1685254"/>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3695" cy="1693379"/>
                    </a:xfrm>
                    <a:prstGeom prst="rect">
                      <a:avLst/>
                    </a:prstGeom>
                  </pic:spPr>
                </pic:pic>
              </a:graphicData>
            </a:graphic>
          </wp:inline>
        </w:drawing>
      </w:r>
    </w:p>
    <w:p w:rsidR="00CE06EF" w:rsidRDefault="00CE06EF" w:rsidP="00CE06EF">
      <w:pPr>
        <w:jc w:val="both"/>
      </w:pPr>
      <w:r w:rsidRPr="00CE06EF">
        <w:t xml:space="preserve">Słownik Zakłady </w:t>
      </w:r>
      <w:r>
        <w:t xml:space="preserve">(Środki trwałe -&gt; Słowniki -&gt; Zakłady) </w:t>
      </w:r>
      <w:r w:rsidRPr="00CE06EF">
        <w:t>należy uzupełnić o dane dotyczące podziału jednostki w ramach ewidencji środków trwałych (na cele inwentaryzacyjne lub inne np. do zestawień). Każdy zakład jest przypisywany do odpowiedniej jednostki budżetowej. Dzięki temu system ma możliwość tworzenia paczek księgowych do modułu Finansowo-Księgowego, przesyłając je do odpowiednich jednostek księgowych.</w:t>
      </w:r>
    </w:p>
    <w:p w:rsidR="00CE06EF" w:rsidRDefault="00CE06EF" w:rsidP="00CE06EF">
      <w:pPr>
        <w:jc w:val="both"/>
      </w:pPr>
      <w:r w:rsidRPr="00CE06EF">
        <w:rPr>
          <w:noProof/>
          <w:lang w:eastAsia="pl-PL"/>
        </w:rPr>
        <w:drawing>
          <wp:inline distT="0" distB="0" distL="0" distR="0" wp14:anchorId="3EEAB2A3" wp14:editId="4CD3F15A">
            <wp:extent cx="3525926" cy="1623169"/>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1104" cy="1634760"/>
                    </a:xfrm>
                    <a:prstGeom prst="rect">
                      <a:avLst/>
                    </a:prstGeom>
                  </pic:spPr>
                </pic:pic>
              </a:graphicData>
            </a:graphic>
          </wp:inline>
        </w:drawing>
      </w:r>
    </w:p>
    <w:p w:rsidR="00CE06EF" w:rsidRDefault="00CE06EF" w:rsidP="00CE06EF">
      <w:pPr>
        <w:jc w:val="both"/>
      </w:pPr>
      <w:r>
        <w:t>S</w:t>
      </w:r>
      <w:r w:rsidRPr="00CE06EF">
        <w:t xml:space="preserve">łownik Działy </w:t>
      </w:r>
      <w:r>
        <w:t xml:space="preserve">(Środki trwałe -&gt; Słowniki -&gt; Działy) </w:t>
      </w:r>
      <w:r w:rsidRPr="00CE06EF">
        <w:t>jest to bardziej szczegółowy podział w ramach każdego zakładu (np. podział na pokoje dla wyposażenia). Dla każdego zakładu musi być stworzony co najmniej jeden dział.</w:t>
      </w:r>
    </w:p>
    <w:p w:rsidR="00CE06EF" w:rsidRDefault="00CE06EF" w:rsidP="00CE06EF">
      <w:pPr>
        <w:jc w:val="both"/>
      </w:pPr>
      <w:r>
        <w:t>Następnie należy uzupełnić kody klasyfikacji środków trwałych.</w:t>
      </w:r>
    </w:p>
    <w:p w:rsidR="00CE06EF" w:rsidRDefault="00CE06EF" w:rsidP="00CE06EF">
      <w:pPr>
        <w:jc w:val="both"/>
      </w:pPr>
      <w:r w:rsidRPr="00CE06EF">
        <w:rPr>
          <w:noProof/>
          <w:lang w:eastAsia="pl-PL"/>
        </w:rPr>
        <w:lastRenderedPageBreak/>
        <w:drawing>
          <wp:inline distT="0" distB="0" distL="0" distR="0" wp14:anchorId="79DEF73D" wp14:editId="79BFCE6D">
            <wp:extent cx="3196742" cy="1725009"/>
            <wp:effectExtent l="0" t="0" r="381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9758" cy="1732032"/>
                    </a:xfrm>
                    <a:prstGeom prst="rect">
                      <a:avLst/>
                    </a:prstGeom>
                  </pic:spPr>
                </pic:pic>
              </a:graphicData>
            </a:graphic>
          </wp:inline>
        </w:drawing>
      </w:r>
    </w:p>
    <w:p w:rsidR="00CE06EF" w:rsidRDefault="00CE06EF" w:rsidP="00CE06EF">
      <w:pPr>
        <w:jc w:val="both"/>
      </w:pPr>
      <w:r>
        <w:t xml:space="preserve">Środki trwałe -&gt; Słowniki -&gt; Klasyfikacja środków trwałych. </w:t>
      </w:r>
      <w:r w:rsidRPr="00CE06EF">
        <w:t>Główna klasyfikacja środków trwałych i Klasyfikacja środków trwałych to słowniki  uzupełnione o aktualne wpisy pobrane ze strony GUS-u dotyczące Klasyfikacji Rodzajowej Środków Trwałych (KRŚT). Konstrukcja systemu wymaga, aby do każdego środka trwałego była przypisana odpowiednia klasyfikacja KRŚT.</w:t>
      </w:r>
    </w:p>
    <w:p w:rsidR="007F3ED3" w:rsidRDefault="007F3ED3" w:rsidP="00CE06EF">
      <w:pPr>
        <w:jc w:val="both"/>
      </w:pPr>
      <w:r w:rsidRPr="007F3ED3">
        <w:t xml:space="preserve">Aby dodać do słownika Klasyfikacji Środków Trwałych pozycję należy z menu głównego wybrać System </w:t>
      </w:r>
      <w:r w:rsidR="00773829">
        <w:t>-&gt;</w:t>
      </w:r>
      <w:r w:rsidRPr="007F3ED3">
        <w:t xml:space="preserve"> Środki trwałe </w:t>
      </w:r>
      <w:r w:rsidR="00773829">
        <w:t>-&gt;</w:t>
      </w:r>
      <w:r w:rsidRPr="007F3ED3">
        <w:t xml:space="preserve"> Słowniki </w:t>
      </w:r>
      <w:r w:rsidR="00773829">
        <w:t>-&gt;</w:t>
      </w:r>
      <w:r w:rsidRPr="007F3ED3">
        <w:t xml:space="preserve"> Klasyfikacja środków trwałych, a następnie wcisnąć przycisk {Dodaj}</w:t>
      </w:r>
      <w:r w:rsidR="00773829">
        <w:t>.</w:t>
      </w:r>
    </w:p>
    <w:p w:rsidR="00773829" w:rsidRDefault="00773829" w:rsidP="00CE06EF">
      <w:pPr>
        <w:jc w:val="both"/>
      </w:pPr>
      <w:r w:rsidRPr="00773829">
        <w:rPr>
          <w:noProof/>
          <w:lang w:eastAsia="pl-PL"/>
        </w:rPr>
        <w:drawing>
          <wp:inline distT="0" distB="0" distL="0" distR="0">
            <wp:extent cx="3482035" cy="1986587"/>
            <wp:effectExtent l="0" t="0" r="444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0048" cy="1996864"/>
                    </a:xfrm>
                    <a:prstGeom prst="rect">
                      <a:avLst/>
                    </a:prstGeom>
                    <a:noFill/>
                    <a:ln>
                      <a:noFill/>
                    </a:ln>
                  </pic:spPr>
                </pic:pic>
              </a:graphicData>
            </a:graphic>
          </wp:inline>
        </w:drawing>
      </w:r>
    </w:p>
    <w:p w:rsidR="00773829" w:rsidRDefault="00773829" w:rsidP="00773829">
      <w:pPr>
        <w:jc w:val="both"/>
      </w:pPr>
      <w:r>
        <w:t>Grupa* - numer wprowadzanej grupy Klasyfikacji Środków Trwałych</w:t>
      </w:r>
    </w:p>
    <w:p w:rsidR="00773829" w:rsidRDefault="00773829" w:rsidP="00773829">
      <w:pPr>
        <w:jc w:val="both"/>
      </w:pPr>
      <w:r>
        <w:t xml:space="preserve">· Nazwa grupy </w:t>
      </w:r>
      <w:proofErr w:type="spellStart"/>
      <w:r>
        <w:t>gł</w:t>
      </w:r>
      <w:proofErr w:type="spellEnd"/>
      <w:r>
        <w:t xml:space="preserve"> - nazwa grupy Głównej Klasyfikacji Środków Trwałych w ramach której, ma być wprowadzany nowa Klasyfikacja Środka Trwałego</w:t>
      </w:r>
    </w:p>
    <w:p w:rsidR="00773829" w:rsidRDefault="00773829" w:rsidP="00773829">
      <w:pPr>
        <w:jc w:val="both"/>
      </w:pPr>
      <w:r>
        <w:t>· Opis* - nazwa wprowadzanej grupy Klasyfikacji Środków Trwałych</w:t>
      </w:r>
    </w:p>
    <w:p w:rsidR="00773829" w:rsidRDefault="00773829" w:rsidP="00773829">
      <w:pPr>
        <w:jc w:val="both"/>
      </w:pPr>
      <w:r>
        <w:t>· Stopa - stopa procentowa odpisów amortyzacyjnych dla wprowadzanej grupy Klasyfikacji Środków Trwałych</w:t>
      </w:r>
    </w:p>
    <w:p w:rsidR="00773829" w:rsidRDefault="00773829" w:rsidP="00773829">
      <w:pPr>
        <w:jc w:val="both"/>
      </w:pPr>
      <w:r>
        <w:t>· Procent przeceny - wartość procentu przeceny dla wprowadzanej grupy Klasyfikacji Środków Trwałych</w:t>
      </w:r>
    </w:p>
    <w:p w:rsidR="00773829" w:rsidRPr="00CE06EF" w:rsidRDefault="00773829" w:rsidP="00CE06EF">
      <w:pPr>
        <w:jc w:val="both"/>
      </w:pPr>
      <w:r>
        <w:t>· Podlega etykietowaniu – pole należy zaznaczyć, jeśli dana grupa będzie podlegała etykietowaniu. Pole dostępne jedynie po uzyskaniu indywidualnego kodu aktywującego.</w:t>
      </w:r>
    </w:p>
    <w:p w:rsidR="00EE2788" w:rsidRDefault="00B04277" w:rsidP="00EE67A0">
      <w:pPr>
        <w:pStyle w:val="Nagwek2"/>
      </w:pPr>
      <w:bookmarkStart w:id="5" w:name="_Toc419106921"/>
      <w:r>
        <w:t>Dodawanie nowych środków trwałych</w:t>
      </w:r>
      <w:bookmarkEnd w:id="5"/>
    </w:p>
    <w:p w:rsidR="00261406" w:rsidRDefault="00F74AAA" w:rsidP="00F74AAA">
      <w:pPr>
        <w:jc w:val="both"/>
      </w:pPr>
      <w:r w:rsidRPr="00F74AAA">
        <w:t>Dodanie środka do ewidencji jest możliwe po wybraniu przycisku {Dodaj} w głównym oknie Obsługa środków trwałych, bądź też po wybraniu opcji z menu podręcznego (prawy przycisk myszy) {Dodaj} -&gt; {Środek}.</w:t>
      </w:r>
    </w:p>
    <w:p w:rsidR="00F74AAA" w:rsidRDefault="00F74AAA" w:rsidP="00F74AAA">
      <w:pPr>
        <w:jc w:val="both"/>
      </w:pPr>
      <w:r w:rsidRPr="00F74AAA">
        <w:rPr>
          <w:noProof/>
          <w:lang w:eastAsia="pl-PL"/>
        </w:rPr>
        <w:lastRenderedPageBreak/>
        <w:drawing>
          <wp:inline distT="0" distB="0" distL="0" distR="0">
            <wp:extent cx="5128580" cy="3525926"/>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1667" cy="3528048"/>
                    </a:xfrm>
                    <a:prstGeom prst="rect">
                      <a:avLst/>
                    </a:prstGeom>
                    <a:noFill/>
                    <a:ln>
                      <a:noFill/>
                    </a:ln>
                  </pic:spPr>
                </pic:pic>
              </a:graphicData>
            </a:graphic>
          </wp:inline>
        </w:drawing>
      </w:r>
    </w:p>
    <w:p w:rsidR="00F74AAA" w:rsidRDefault="00F74AAA" w:rsidP="00F74AAA">
      <w:pPr>
        <w:jc w:val="both"/>
      </w:pPr>
      <w:r w:rsidRPr="00F74AAA">
        <w:t>System wyświetla ekran Dodaj nowy środek trwały.</w:t>
      </w:r>
    </w:p>
    <w:p w:rsidR="00F74AAA" w:rsidRDefault="00F74AAA" w:rsidP="00F74AAA">
      <w:pPr>
        <w:jc w:val="both"/>
      </w:pPr>
      <w:r w:rsidRPr="00F74AAA">
        <w:rPr>
          <w:noProof/>
          <w:lang w:eastAsia="pl-PL"/>
        </w:rPr>
        <w:drawing>
          <wp:inline distT="0" distB="0" distL="0" distR="0">
            <wp:extent cx="5573495" cy="4067251"/>
            <wp:effectExtent l="0" t="0" r="8255" b="95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4711" cy="4068138"/>
                    </a:xfrm>
                    <a:prstGeom prst="rect">
                      <a:avLst/>
                    </a:prstGeom>
                    <a:noFill/>
                    <a:ln>
                      <a:noFill/>
                    </a:ln>
                  </pic:spPr>
                </pic:pic>
              </a:graphicData>
            </a:graphic>
          </wp:inline>
        </w:drawing>
      </w:r>
    </w:p>
    <w:p w:rsidR="00670741" w:rsidRDefault="00670741" w:rsidP="00670741">
      <w:pPr>
        <w:jc w:val="both"/>
      </w:pPr>
      <w:r>
        <w:t>Na zakładce |Dane środka| należy uzupełnić pola:</w:t>
      </w:r>
    </w:p>
    <w:p w:rsidR="00670741" w:rsidRDefault="00670741" w:rsidP="00670741">
      <w:pPr>
        <w:jc w:val="both"/>
      </w:pPr>
      <w:r>
        <w:t>• [Nazwa środka] – pole, w którym należy wpisać nazwę dodawanego środka trwałego.</w:t>
      </w:r>
    </w:p>
    <w:p w:rsidR="00670741" w:rsidRDefault="00670741" w:rsidP="00670741">
      <w:pPr>
        <w:jc w:val="both"/>
      </w:pPr>
      <w:r>
        <w:t>• {Grupa KRŚT} – pole w postaci listy wyboru, w którym należy wskazać właściwą grupy KRŚT.</w:t>
      </w:r>
    </w:p>
    <w:p w:rsidR="00670741" w:rsidRDefault="00670741" w:rsidP="00670741">
      <w:pPr>
        <w:jc w:val="both"/>
      </w:pPr>
      <w:r>
        <w:lastRenderedPageBreak/>
        <w:t>• [Numer inwentarzowy] – pole, które zawiera unikalny numer inwentarzowy generowany w następujący sposób: Grupa KRŚT/aktualny rok obliczeniowy/kolejny numer środka w danej grupie KRŚT. Pole z numerem inwentarzowym może być również edytowane przez użytkownika w celu wpisania własnego numeru inwentarzowego.</w:t>
      </w:r>
    </w:p>
    <w:p w:rsidR="00670741" w:rsidRDefault="00670741" w:rsidP="00670741">
      <w:pPr>
        <w:jc w:val="both"/>
      </w:pPr>
      <w:r>
        <w:t>• [Wartość początkowa] – pole, w którym należy wpisać wartość początkową środka trwałego.</w:t>
      </w:r>
    </w:p>
    <w:p w:rsidR="00670741" w:rsidRDefault="00670741" w:rsidP="00670741">
      <w:pPr>
        <w:jc w:val="both"/>
      </w:pPr>
      <w:r>
        <w:t>• [Wartość nabycia] – pole, w którym należy wpisać wartość nabycia  środka trwałego.</w:t>
      </w:r>
    </w:p>
    <w:p w:rsidR="00670741" w:rsidRDefault="00670741" w:rsidP="00670741">
      <w:pPr>
        <w:jc w:val="both"/>
      </w:pPr>
      <w:r>
        <w:t xml:space="preserve">• [Wartość </w:t>
      </w:r>
      <w:proofErr w:type="spellStart"/>
      <w:r>
        <w:t>początk</w:t>
      </w:r>
      <w:proofErr w:type="spellEnd"/>
      <w:r>
        <w:t xml:space="preserve">. po </w:t>
      </w:r>
      <w:proofErr w:type="spellStart"/>
      <w:r>
        <w:t>aktual</w:t>
      </w:r>
      <w:proofErr w:type="spellEnd"/>
      <w:r>
        <w:t>.] – pole tylko do odczytu, które prezentuje wartość początkową po aktualizacji dodawanego środka trwałego.</w:t>
      </w:r>
    </w:p>
    <w:p w:rsidR="00670741" w:rsidRDefault="00670741" w:rsidP="00670741">
      <w:pPr>
        <w:jc w:val="both"/>
      </w:pPr>
      <w:r>
        <w:t>• [Wartość netto środka] - pole tylko do odczytu, które prezentuje wartość netto środka trwałego.</w:t>
      </w:r>
    </w:p>
    <w:p w:rsidR="00670741" w:rsidRDefault="00670741" w:rsidP="00670741">
      <w:pPr>
        <w:jc w:val="both"/>
      </w:pPr>
      <w:r>
        <w:t>• [Dotychczasowe umorzenie] - pole tylko do odczytu, które prezentuje wartość dotychczasowego umorzenia środka trwałego.</w:t>
      </w:r>
    </w:p>
    <w:p w:rsidR="00670741" w:rsidRDefault="00670741" w:rsidP="00670741">
      <w:pPr>
        <w:jc w:val="both"/>
      </w:pPr>
      <w:r>
        <w:t>• [Umorzenie z przyjęcia] – pole prezentujące wartość umorzenia z przyjęcia. Po zaznaczeniu pól {Środek amortyzowany} lub {Środek umarzany} oraz wybraniu w polu {Sposób nabycia} = &lt;Nieodpłatne przyjęcie&gt;, zawartość pola  może być modyfikowana przez użytkownika.</w:t>
      </w:r>
    </w:p>
    <w:p w:rsidR="00670741" w:rsidRDefault="00670741" w:rsidP="00670741">
      <w:pPr>
        <w:jc w:val="both"/>
      </w:pPr>
      <w:r>
        <w:t>• {Sposób nabycia} – pole będące listą wyboru, która umożliwia wybranie sposobu nabycia środka trwałego, a także określenie, czy został on nabyty jako nowy, czy używany.</w:t>
      </w:r>
    </w:p>
    <w:p w:rsidR="00670741" w:rsidRDefault="00670741" w:rsidP="00670741">
      <w:pPr>
        <w:jc w:val="both"/>
      </w:pPr>
      <w:r>
        <w:t>• {Rodzaj budynku} – pole będące listą wyboru, która pozwala określić rodzaj budynku. Pole możliwe do edycji tylko w przypadku, gdy środek należy do grupy 1.</w:t>
      </w:r>
    </w:p>
    <w:p w:rsidR="00670741" w:rsidRDefault="00670741" w:rsidP="00670741">
      <w:pPr>
        <w:jc w:val="both"/>
      </w:pPr>
      <w:r>
        <w:t>• [Data nabycia] – pole określające datę nabycia środka trwałego.</w:t>
      </w:r>
    </w:p>
    <w:p w:rsidR="00670741" w:rsidRDefault="00670741" w:rsidP="00670741">
      <w:pPr>
        <w:jc w:val="both"/>
      </w:pPr>
      <w:r>
        <w:t>• [Nr dokumentu nabycia] – pole pozwalające określić numer dokumentu nabycia.</w:t>
      </w:r>
    </w:p>
    <w:p w:rsidR="00670741" w:rsidRDefault="00670741" w:rsidP="00670741">
      <w:pPr>
        <w:jc w:val="both"/>
      </w:pPr>
      <w:r>
        <w:t>• {Przyjęty do użytkowania wcześniej} – parametr, dzięki któremu określa się, czy środek na być przyjęty z umorzeniem/amortyzacją w latach wcześniejszych niż aktualny rok obliczeniowy.</w:t>
      </w:r>
    </w:p>
    <w:p w:rsidR="00670741" w:rsidRDefault="00670741" w:rsidP="00670741">
      <w:pPr>
        <w:jc w:val="both"/>
      </w:pPr>
      <w:r>
        <w:t>• {Środek amortyzowany} – parametr ten pozwala określić, czy środek będzie  amortyzowany.</w:t>
      </w:r>
    </w:p>
    <w:p w:rsidR="00670741" w:rsidRDefault="00670741" w:rsidP="00670741">
      <w:pPr>
        <w:jc w:val="both"/>
      </w:pPr>
      <w:r>
        <w:t>• {Środek umarzany} – parametr ten pozwala określić, czy środek będzie umarzany.</w:t>
      </w:r>
    </w:p>
    <w:p w:rsidR="00670741" w:rsidRDefault="00670741" w:rsidP="00670741">
      <w:pPr>
        <w:jc w:val="both"/>
      </w:pPr>
      <w:r>
        <w:t xml:space="preserve">• {Wyposażenie (środek </w:t>
      </w:r>
      <w:proofErr w:type="spellStart"/>
      <w:r>
        <w:t>niskocenny</w:t>
      </w:r>
      <w:proofErr w:type="spellEnd"/>
      <w:r>
        <w:t>)} – parametr ten pozwala określić, czy środek jest wyposażeniem.</w:t>
      </w:r>
    </w:p>
    <w:p w:rsidR="00F74AAA" w:rsidRDefault="00670741" w:rsidP="00670741">
      <w:pPr>
        <w:jc w:val="both"/>
      </w:pPr>
      <w:r>
        <w:t>• {Wartość niematerialna i prawna} - pole domyślnie odznaczone, pozwala określić czy środek jest wartością niematerialną i prawną.</w:t>
      </w:r>
    </w:p>
    <w:p w:rsidR="00F74AAA" w:rsidRDefault="00F7442F" w:rsidP="00F74AAA">
      <w:pPr>
        <w:jc w:val="both"/>
      </w:pPr>
      <w:r w:rsidRPr="00F7442F">
        <w:rPr>
          <w:noProof/>
          <w:lang w:eastAsia="pl-PL"/>
        </w:rPr>
        <w:lastRenderedPageBreak/>
        <w:drawing>
          <wp:inline distT="0" distB="0" distL="0" distR="0" wp14:anchorId="24AD0E64" wp14:editId="4BED5106">
            <wp:extent cx="5541961" cy="4052620"/>
            <wp:effectExtent l="0" t="0" r="190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4082" cy="4054171"/>
                    </a:xfrm>
                    <a:prstGeom prst="rect">
                      <a:avLst/>
                    </a:prstGeom>
                  </pic:spPr>
                </pic:pic>
              </a:graphicData>
            </a:graphic>
          </wp:inline>
        </w:drawing>
      </w:r>
    </w:p>
    <w:p w:rsidR="00F7442F" w:rsidRDefault="00F7442F" w:rsidP="00F7442F">
      <w:pPr>
        <w:jc w:val="both"/>
      </w:pPr>
      <w:r>
        <w:t>Na zakładce |Informacje dodatkowe| należy wprowadzić następujące informacje:</w:t>
      </w:r>
    </w:p>
    <w:p w:rsidR="00F7442F" w:rsidRDefault="00F7442F" w:rsidP="00F7442F">
      <w:pPr>
        <w:jc w:val="both"/>
      </w:pPr>
      <w:r>
        <w:t>· [Data przyjęcia do użytkowania] - domyślnie bieżąca data.</w:t>
      </w:r>
    </w:p>
    <w:p w:rsidR="00F7442F" w:rsidRDefault="00F7442F" w:rsidP="00F7442F">
      <w:pPr>
        <w:jc w:val="both"/>
      </w:pPr>
      <w:r>
        <w:t>· [Osoba odpowiedzialna] - wymagana wartość ze słownika.</w:t>
      </w:r>
    </w:p>
    <w:p w:rsidR="00F7442F" w:rsidRDefault="00F7442F" w:rsidP="00F7442F">
      <w:pPr>
        <w:jc w:val="both"/>
      </w:pPr>
      <w:r>
        <w:t>· [Miejsce użytkowania] - wymagana wartość ze słownika Działów.</w:t>
      </w:r>
    </w:p>
    <w:p w:rsidR="00F7442F" w:rsidRDefault="00F7442F" w:rsidP="00F7442F">
      <w:pPr>
        <w:jc w:val="both"/>
      </w:pPr>
      <w:r>
        <w:t>· [Kod PKD/EKD] –  znajdują się tu kody wprowadzone w module Kontrahenci dla obsługiwanej jednostki. Sugerowane jest wskazywanie kodów dla wszystkich środków trwałych.</w:t>
      </w:r>
    </w:p>
    <w:p w:rsidR="00F7442F" w:rsidRDefault="00F7442F" w:rsidP="00F7442F">
      <w:pPr>
        <w:jc w:val="both"/>
      </w:pPr>
      <w:r w:rsidRPr="00F7442F">
        <w:rPr>
          <w:noProof/>
          <w:lang w:eastAsia="pl-PL"/>
        </w:rPr>
        <w:lastRenderedPageBreak/>
        <w:drawing>
          <wp:inline distT="0" distB="0" distL="0" distR="0" wp14:anchorId="6B3074C6" wp14:editId="229DAA14">
            <wp:extent cx="5625388" cy="4113627"/>
            <wp:effectExtent l="0" t="0" r="0" b="127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9327" cy="4116508"/>
                    </a:xfrm>
                    <a:prstGeom prst="rect">
                      <a:avLst/>
                    </a:prstGeom>
                  </pic:spPr>
                </pic:pic>
              </a:graphicData>
            </a:graphic>
          </wp:inline>
        </w:drawing>
      </w:r>
    </w:p>
    <w:p w:rsidR="00F7442F" w:rsidRDefault="00F7442F" w:rsidP="00F7442F">
      <w:pPr>
        <w:jc w:val="both"/>
      </w:pPr>
      <w:r>
        <w:t>Na zakładce  |Amortyzacja/Umorzenie| należy uzupełnić następujące pola:</w:t>
      </w:r>
    </w:p>
    <w:p w:rsidR="00F7442F" w:rsidRDefault="00F7442F" w:rsidP="00F7442F">
      <w:pPr>
        <w:jc w:val="both"/>
      </w:pPr>
      <w:r>
        <w:t>· [Metoda amortyzacji] – pole, w którym należy wybrać sposób amortyzacji środka trwałego.</w:t>
      </w:r>
    </w:p>
    <w:p w:rsidR="00F7442F" w:rsidRDefault="00F7442F" w:rsidP="00F7442F">
      <w:pPr>
        <w:jc w:val="both"/>
      </w:pPr>
      <w:r>
        <w:t>· [Rata amortyzacji] – pole, w którym należy wybrać rodzaj raty amortyzacji środka trwałego.</w:t>
      </w:r>
    </w:p>
    <w:p w:rsidR="00261406" w:rsidRDefault="00F7442F" w:rsidP="00F7442F">
      <w:pPr>
        <w:jc w:val="both"/>
      </w:pPr>
      <w:r>
        <w:t>· [Stopa] – pole, którego wartość określa stopę amortyzacji środka trwałego.</w:t>
      </w:r>
    </w:p>
    <w:p w:rsidR="00F7442F" w:rsidRDefault="0035206D" w:rsidP="00F7442F">
      <w:pPr>
        <w:jc w:val="both"/>
      </w:pPr>
      <w:r w:rsidRPr="0035206D">
        <w:rPr>
          <w:noProof/>
          <w:lang w:eastAsia="pl-PL"/>
        </w:rPr>
        <w:lastRenderedPageBreak/>
        <w:drawing>
          <wp:inline distT="0" distB="0" distL="0" distR="0" wp14:anchorId="50ABC540" wp14:editId="1B452740">
            <wp:extent cx="5618073" cy="4108278"/>
            <wp:effectExtent l="0" t="0" r="1905" b="698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2913" cy="4111817"/>
                    </a:xfrm>
                    <a:prstGeom prst="rect">
                      <a:avLst/>
                    </a:prstGeom>
                  </pic:spPr>
                </pic:pic>
              </a:graphicData>
            </a:graphic>
          </wp:inline>
        </w:drawing>
      </w:r>
    </w:p>
    <w:p w:rsidR="0035206D" w:rsidRDefault="0035206D" w:rsidP="0035206D">
      <w:pPr>
        <w:jc w:val="both"/>
      </w:pPr>
      <w:r>
        <w:t>Zakładka  |Historia środka| pojawia się wówczas, gdy środek był przyjęty do użytkowania wcześniej - przy wprowadzeniu środka do systemu zaznaczono {Przyjęty do użytkowania wcześniej}.</w:t>
      </w:r>
    </w:p>
    <w:p w:rsidR="0035206D" w:rsidRDefault="0035206D" w:rsidP="0035206D">
      <w:pPr>
        <w:jc w:val="both"/>
      </w:pPr>
      <w:r>
        <w:t>Na zakładce tej należy wprowadzić następujące informacje:</w:t>
      </w:r>
    </w:p>
    <w:p w:rsidR="0035206D" w:rsidRDefault="0035206D" w:rsidP="0035206D">
      <w:pPr>
        <w:jc w:val="both"/>
      </w:pPr>
      <w:r>
        <w:t>· [Data rozpoczęcia ewidencji środka w programie] - domyślnie bieżąca data.</w:t>
      </w:r>
    </w:p>
    <w:p w:rsidR="0035206D" w:rsidRDefault="0035206D" w:rsidP="0035206D">
      <w:pPr>
        <w:jc w:val="both"/>
      </w:pPr>
      <w:r>
        <w:t>· [Umorzenie w bieżącym roku] – jeśli w bieżącym roku nie było naliczane umorzenie, to należy zostawić wartość 0.</w:t>
      </w:r>
    </w:p>
    <w:p w:rsidR="0035206D" w:rsidRDefault="0035206D" w:rsidP="0035206D">
      <w:pPr>
        <w:jc w:val="both"/>
      </w:pPr>
      <w:r>
        <w:t>· [Całkowite umorzenie] – w tym polu należy wprowadzić łączną kwotę dotychczasowego umorzenia.</w:t>
      </w:r>
    </w:p>
    <w:p w:rsidR="0035206D" w:rsidRDefault="0035206D" w:rsidP="0035206D">
      <w:pPr>
        <w:jc w:val="both"/>
      </w:pPr>
      <w:r>
        <w:t>· [Data ostatniej amortyzacji] – pole to należy uzupełnić ręcznie jedynie w sytuacji, gdy wprowadzimy jakąś wartość w polu [Umorzenie w bieżącym roku], tzn. było już naliczone w bieżącym roku  umorzenie dla tego środka.</w:t>
      </w:r>
    </w:p>
    <w:p w:rsidR="0035206D" w:rsidRDefault="00BC7630" w:rsidP="0035206D">
      <w:pPr>
        <w:jc w:val="both"/>
      </w:pPr>
      <w:r w:rsidRPr="00BC7630">
        <w:rPr>
          <w:noProof/>
          <w:lang w:eastAsia="pl-PL"/>
        </w:rPr>
        <w:lastRenderedPageBreak/>
        <w:drawing>
          <wp:inline distT="0" distB="0" distL="0" distR="0" wp14:anchorId="399D0404" wp14:editId="69B8E664">
            <wp:extent cx="5581975" cy="4081881"/>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5212" cy="4084248"/>
                    </a:xfrm>
                    <a:prstGeom prst="rect">
                      <a:avLst/>
                    </a:prstGeom>
                  </pic:spPr>
                </pic:pic>
              </a:graphicData>
            </a:graphic>
          </wp:inline>
        </w:drawing>
      </w:r>
    </w:p>
    <w:p w:rsidR="00BC7630" w:rsidRDefault="00BC7630" w:rsidP="00BC7630">
      <w:pPr>
        <w:jc w:val="both"/>
      </w:pPr>
      <w:r>
        <w:t>Na zakładce |Plan amortyzacji/Umorzenia| wyświetlany jest plan amortyzacji dla danego środka. Jest on automatycznie generowany na podstawie parametrów amortyzacji, wartości początkowej oraz daty przyjęcia do użytkowania.</w:t>
      </w:r>
    </w:p>
    <w:p w:rsidR="00BC7630" w:rsidRPr="00BC7630" w:rsidRDefault="00BC7630" w:rsidP="003570AA">
      <w:pPr>
        <w:jc w:val="both"/>
      </w:pPr>
      <w:r>
        <w:t>Po wprowadzeniu wszystkich danych środka, w celu ich zapisania należy wybrać przycisk {Zapisz}. Wybór przycisku {Zamknij} spowoduje rezygnację z zapisu wprowadzonych zmian i powrót do głównego ekranu modułu.</w:t>
      </w:r>
    </w:p>
    <w:p w:rsidR="002B71F6" w:rsidRDefault="00B04277" w:rsidP="00B7724D">
      <w:pPr>
        <w:pStyle w:val="Nagwek2"/>
      </w:pPr>
      <w:bookmarkStart w:id="6" w:name="_Toc419106922"/>
      <w:r>
        <w:t>Tworzenie grup środków trwałych</w:t>
      </w:r>
      <w:bookmarkEnd w:id="6"/>
    </w:p>
    <w:p w:rsidR="00377439" w:rsidRDefault="00377439" w:rsidP="00377439">
      <w:pPr>
        <w:jc w:val="both"/>
      </w:pPr>
      <w:r w:rsidRPr="000B624A">
        <w:t>Opcja {Grupy środków trwałych} służy do szybkiego wprowadzania grupy środków, które mają przynajmniej jedną wspólną cechę (np. zakupionych na tę samą fakturę, ta sama nazwa lub wartość początkowa).</w:t>
      </w:r>
    </w:p>
    <w:p w:rsidR="00432D40" w:rsidRDefault="00377439" w:rsidP="00377439">
      <w:pPr>
        <w:jc w:val="both"/>
      </w:pPr>
      <w:r w:rsidRPr="000B624A">
        <w:t>Po wybraniu tej opcji pojawi się ekran Dodawanie grupy środków. Należy zaznaczyć na nim pola, które system ma uczynić takimi samymi dla środków trwałych dodawanych grupowo. Można też zaznaczyć wszystkie pola poprzez zaznaczenie parametru {Zaznacz wszystkie}. Po wciśnięciu przycisku {Wybierz} system otwiera ekran dodawania grupowego środków trwałych. Zasada wprowadzania pierwszego środka z grupy jest taka sama jak w przypadku wprowadzania pojedynczego - należy wprowadzić jego dane, a następnie wybrać przycisk {Zapisz}. Aby dodać kolejne środki trwałe należy nacisnąć przycisk {Następny z grupy}. Spowoduje to przepisanie danych z pierwszego dla kolejnego środka trwałego. Jeśli zostanie wprowadzona wystarczająca ilość środków trwałych, należy wybrać przycisk {Zamknij}.</w:t>
      </w:r>
    </w:p>
    <w:p w:rsidR="00377439" w:rsidRDefault="00377439" w:rsidP="00377439">
      <w:pPr>
        <w:jc w:val="both"/>
      </w:pPr>
      <w:r w:rsidRPr="00377439">
        <w:rPr>
          <w:noProof/>
          <w:lang w:eastAsia="pl-PL"/>
        </w:rPr>
        <w:lastRenderedPageBreak/>
        <w:drawing>
          <wp:inline distT="0" distB="0" distL="0" distR="0">
            <wp:extent cx="5161152" cy="3533241"/>
            <wp:effectExtent l="0" t="0" r="1905"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699" cy="3541146"/>
                    </a:xfrm>
                    <a:prstGeom prst="rect">
                      <a:avLst/>
                    </a:prstGeom>
                    <a:noFill/>
                    <a:ln>
                      <a:noFill/>
                    </a:ln>
                  </pic:spPr>
                </pic:pic>
              </a:graphicData>
            </a:graphic>
          </wp:inline>
        </w:drawing>
      </w:r>
    </w:p>
    <w:p w:rsidR="00377439" w:rsidRDefault="00377439" w:rsidP="00377439">
      <w:pPr>
        <w:jc w:val="both"/>
      </w:pPr>
      <w:r>
        <w:t>Pojawi się okno poniżej.</w:t>
      </w:r>
    </w:p>
    <w:p w:rsidR="00377439" w:rsidRDefault="00377439" w:rsidP="00377439">
      <w:pPr>
        <w:jc w:val="both"/>
      </w:pPr>
      <w:r w:rsidRPr="000B624A">
        <w:rPr>
          <w:noProof/>
          <w:lang w:eastAsia="pl-PL"/>
        </w:rPr>
        <w:drawing>
          <wp:inline distT="0" distB="0" distL="0" distR="0" wp14:anchorId="30497017" wp14:editId="0C5DE3C5">
            <wp:extent cx="5105638" cy="404530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0706" cy="4049320"/>
                    </a:xfrm>
                    <a:prstGeom prst="rect">
                      <a:avLst/>
                    </a:prstGeom>
                  </pic:spPr>
                </pic:pic>
              </a:graphicData>
            </a:graphic>
          </wp:inline>
        </w:drawing>
      </w:r>
    </w:p>
    <w:p w:rsidR="00377439" w:rsidRDefault="00C13A46" w:rsidP="00377439">
      <w:pPr>
        <w:jc w:val="both"/>
      </w:pPr>
      <w:r>
        <w:t>N</w:t>
      </w:r>
      <w:r w:rsidRPr="00C13A46">
        <w:t>ależy zaznaczyć pola, które system ma uczynić takimi samymi dla środków trwałych dodawanych grupowo np. grupa KRŚT, producent, wyposażenie. Można też zaznaczyć wszystkie pola poprzez zaznaczenie elementu {Zaznacz wszystkie}. Po wciśnięciu przycisku {Wybierz} system otwiera ekran wyboru rodzaju a następnie ekran dodawania grupowego środków trwałych</w:t>
      </w:r>
      <w:r>
        <w:t>.</w:t>
      </w:r>
    </w:p>
    <w:p w:rsidR="00C13A46" w:rsidRDefault="00C13A46" w:rsidP="00377439">
      <w:pPr>
        <w:jc w:val="both"/>
      </w:pPr>
      <w:r w:rsidRPr="00C13A46">
        <w:rPr>
          <w:noProof/>
          <w:lang w:eastAsia="pl-PL"/>
        </w:rPr>
        <w:lastRenderedPageBreak/>
        <w:drawing>
          <wp:inline distT="0" distB="0" distL="0" distR="0">
            <wp:extent cx="2618841" cy="1335037"/>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2373" cy="1341935"/>
                    </a:xfrm>
                    <a:prstGeom prst="rect">
                      <a:avLst/>
                    </a:prstGeom>
                    <a:noFill/>
                    <a:ln>
                      <a:noFill/>
                    </a:ln>
                  </pic:spPr>
                </pic:pic>
              </a:graphicData>
            </a:graphic>
          </wp:inline>
        </w:drawing>
      </w:r>
    </w:p>
    <w:p w:rsidR="00C13A46" w:rsidRDefault="00C13A46" w:rsidP="00C13A46">
      <w:pPr>
        <w:jc w:val="both"/>
      </w:pPr>
      <w:r w:rsidRPr="00C13A46">
        <w:t>Aby dodać grupę środków trwałych, należy na ekranie wprowadzić dane pierwszego środka trwałego, a następnie wcisnąć przycisk {Zapisz}, który spowoduje zapisanie danych do systemu. Aby dodać kolejny środek trwały należy nacisnąć przycisk {Następny z grupy}, który spowoduje przepisanie danych, które mają być identyczne dla wybranej grupy środków trwałych, a także umożliwi edycję danych, które są indywidualne dla każdego środka trwałego.</w:t>
      </w:r>
    </w:p>
    <w:p w:rsidR="00C13A46" w:rsidRDefault="00C13A46" w:rsidP="00C13A46">
      <w:pPr>
        <w:jc w:val="both"/>
      </w:pPr>
      <w:r w:rsidRPr="00C13A46">
        <w:rPr>
          <w:noProof/>
          <w:lang w:eastAsia="pl-PL"/>
        </w:rPr>
        <w:drawing>
          <wp:inline distT="0" distB="0" distL="0" distR="0">
            <wp:extent cx="5760720" cy="4203878"/>
            <wp:effectExtent l="0" t="0" r="0" b="635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203878"/>
                    </a:xfrm>
                    <a:prstGeom prst="rect">
                      <a:avLst/>
                    </a:prstGeom>
                    <a:noFill/>
                    <a:ln>
                      <a:noFill/>
                    </a:ln>
                  </pic:spPr>
                </pic:pic>
              </a:graphicData>
            </a:graphic>
          </wp:inline>
        </w:drawing>
      </w:r>
    </w:p>
    <w:p w:rsidR="00377439" w:rsidRDefault="00C13A46" w:rsidP="00377439">
      <w:pPr>
        <w:jc w:val="both"/>
      </w:pPr>
      <w:r w:rsidRPr="00C13A46">
        <w:t>W celu dodania kolejnych środków procedurę należy powtórzyć. Wybór przycisku {Zamknij} spowoduje rezygnację z zapisu aktualnie wprowadzanego środka trwałego i powrót do głównego ekranu modułu.</w:t>
      </w:r>
    </w:p>
    <w:p w:rsidR="00432D40" w:rsidRDefault="00B04277" w:rsidP="000C1687">
      <w:pPr>
        <w:pStyle w:val="Nagwek2"/>
      </w:pPr>
      <w:bookmarkStart w:id="7" w:name="_Toc419106923"/>
      <w:r w:rsidRPr="00B04277">
        <w:t>Przegląd danych środków trwałych</w:t>
      </w:r>
      <w:bookmarkEnd w:id="7"/>
    </w:p>
    <w:p w:rsidR="00A252A6" w:rsidRDefault="00A63697" w:rsidP="00A63697">
      <w:pPr>
        <w:jc w:val="both"/>
      </w:pPr>
      <w:r>
        <w:t>W oknie Obsługa środków trwałych istnieje możliwość przeglądania, modyfikacji i usuwania środków trwałych. W tym celu należy wyszukać środek, zaznaczyć go w sekcji |Lista środków trwałych| i wybrać właściwy przycisk.</w:t>
      </w:r>
    </w:p>
    <w:p w:rsidR="00A63697" w:rsidRDefault="00A63697" w:rsidP="00A63697">
      <w:pPr>
        <w:jc w:val="both"/>
      </w:pPr>
      <w:r>
        <w:t>W celu przeglądu danych środka, należy go zaznaczyć na liście w głównym oknie modułu (Środki trwałe -&gt; Obsługa środków trwałych), a następnie:</w:t>
      </w:r>
    </w:p>
    <w:p w:rsidR="00A63697" w:rsidRDefault="00A63697" w:rsidP="00A63697">
      <w:pPr>
        <w:jc w:val="both"/>
      </w:pPr>
      <w:r>
        <w:lastRenderedPageBreak/>
        <w:t>· wybrać przycisk {Przeglądaj},</w:t>
      </w:r>
    </w:p>
    <w:p w:rsidR="00A63697" w:rsidRDefault="00A63697" w:rsidP="00A63697">
      <w:pPr>
        <w:jc w:val="both"/>
      </w:pPr>
      <w:r>
        <w:t>· lub z menu podręcznego wybrać opcję {Przeglądaj},</w:t>
      </w:r>
    </w:p>
    <w:p w:rsidR="00A63697" w:rsidRDefault="00A63697" w:rsidP="00A63697">
      <w:pPr>
        <w:jc w:val="both"/>
      </w:pPr>
      <w:r>
        <w:t>· lub dwukrotnie kliknąć na środku.</w:t>
      </w:r>
    </w:p>
    <w:p w:rsidR="00A63697" w:rsidRDefault="00A63697" w:rsidP="00A63697">
      <w:pPr>
        <w:jc w:val="both"/>
      </w:pPr>
      <w:r>
        <w:t>Zostanie wyświetlony ekran Przeglądaj środek trwały zawiera zakładki:</w:t>
      </w:r>
    </w:p>
    <w:p w:rsidR="00A63697" w:rsidRDefault="00A63697" w:rsidP="00A63697">
      <w:pPr>
        <w:jc w:val="both"/>
      </w:pPr>
      <w:r>
        <w:t>· |Dane| - zawierająca podstawowe dane środka,</w:t>
      </w:r>
    </w:p>
    <w:p w:rsidR="00A63697" w:rsidRDefault="00A63697" w:rsidP="00A63697">
      <w:pPr>
        <w:jc w:val="both"/>
      </w:pPr>
      <w:r>
        <w:t>· |Informacje dodatkowe| -zawierająca informacje dodatkowe,</w:t>
      </w:r>
    </w:p>
    <w:p w:rsidR="00A63697" w:rsidRDefault="00A63697" w:rsidP="00A63697">
      <w:pPr>
        <w:jc w:val="both"/>
      </w:pPr>
      <w:r>
        <w:t>· |Operacje| -wykaz wszystkich operacji przeprowadzonych na danym środku wraz z datami ich przeprowadzenia.</w:t>
      </w:r>
    </w:p>
    <w:p w:rsidR="00A63697" w:rsidRDefault="00A63697" w:rsidP="00A63697">
      <w:pPr>
        <w:jc w:val="both"/>
      </w:pPr>
      <w:r>
        <w:t>Wyświetlenie dodatkowych zakładek zależne jest od zaznaczonych parametrów {Środek amortyzowany}, {Środek umarzany}, {Przyjęty do użytkowania wcześniej}:</w:t>
      </w:r>
    </w:p>
    <w:p w:rsidR="00A63697" w:rsidRDefault="00A63697" w:rsidP="00A63697">
      <w:pPr>
        <w:jc w:val="both"/>
      </w:pPr>
      <w:r>
        <w:t>· |Amortyzacja/Umorzenie| - zawierająca parametry dotyczące amortyzacji/umorzenia,</w:t>
      </w:r>
    </w:p>
    <w:p w:rsidR="00A63697" w:rsidRDefault="00A63697" w:rsidP="00A63697">
      <w:pPr>
        <w:jc w:val="both"/>
      </w:pPr>
      <w:r>
        <w:t>· |Historia| - zawierająca informacje na temat historii środka (dla środków wprowadzanych bilansem otwarcia),</w:t>
      </w:r>
    </w:p>
    <w:p w:rsidR="00A63697" w:rsidRDefault="00A63697" w:rsidP="00A63697">
      <w:pPr>
        <w:jc w:val="both"/>
      </w:pPr>
      <w:r>
        <w:t>· |Plan amortyzacji/umorzenia| - zawierająca informacje na temat planowanej oraz wykonanej amortyzacji/umorzenia.</w:t>
      </w:r>
    </w:p>
    <w:p w:rsidR="00B04277" w:rsidRPr="00B04277" w:rsidRDefault="00717497" w:rsidP="00717497">
      <w:pPr>
        <w:jc w:val="both"/>
      </w:pPr>
      <w:r>
        <w:rPr>
          <w:noProof/>
          <w:lang w:eastAsia="pl-PL"/>
        </w:rPr>
        <w:drawing>
          <wp:inline distT="0" distB="0" distL="0" distR="0" wp14:anchorId="37A94F4D" wp14:editId="3E876A47">
            <wp:extent cx="5581975" cy="408188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7769" cy="4086118"/>
                    </a:xfrm>
                    <a:prstGeom prst="rect">
                      <a:avLst/>
                    </a:prstGeom>
                  </pic:spPr>
                </pic:pic>
              </a:graphicData>
            </a:graphic>
          </wp:inline>
        </w:drawing>
      </w:r>
    </w:p>
    <w:p w:rsidR="00717497" w:rsidRPr="00717497" w:rsidRDefault="00717497" w:rsidP="000C1687">
      <w:pPr>
        <w:jc w:val="both"/>
        <w:rPr>
          <w:color w:val="000000"/>
        </w:rPr>
      </w:pPr>
      <w:r>
        <w:rPr>
          <w:color w:val="000000"/>
        </w:rPr>
        <w:t xml:space="preserve">Wybór przycisku </w:t>
      </w:r>
      <w:r>
        <w:rPr>
          <w:b/>
          <w:bCs/>
          <w:color w:val="000000"/>
        </w:rPr>
        <w:t>{Drukuj}</w:t>
      </w:r>
      <w:r>
        <w:rPr>
          <w:color w:val="000000"/>
        </w:rPr>
        <w:t xml:space="preserve"> spowoduje wyświetlenie wydruku </w:t>
      </w:r>
      <w:r>
        <w:rPr>
          <w:b/>
          <w:bCs/>
          <w:color w:val="000000"/>
        </w:rPr>
        <w:t>Karty środka trwałego</w:t>
      </w:r>
      <w:r>
        <w:rPr>
          <w:color w:val="000000"/>
        </w:rPr>
        <w:t xml:space="preserve">. Wybranie przycisku </w:t>
      </w:r>
      <w:r>
        <w:rPr>
          <w:b/>
          <w:bCs/>
          <w:color w:val="000000"/>
        </w:rPr>
        <w:t xml:space="preserve">{Drukuj} </w:t>
      </w:r>
      <w:r>
        <w:rPr>
          <w:color w:val="000000"/>
        </w:rPr>
        <w:t xml:space="preserve">w zakładce </w:t>
      </w:r>
      <w:r>
        <w:rPr>
          <w:b/>
          <w:bCs/>
          <w:color w:val="000000"/>
        </w:rPr>
        <w:t>|Historii operacji|</w:t>
      </w:r>
      <w:r>
        <w:rPr>
          <w:color w:val="000000"/>
        </w:rPr>
        <w:t xml:space="preserve"> spowoduje wyświetlenie raportu historii operacji środka trwałego.</w:t>
      </w:r>
    </w:p>
    <w:sectPr w:rsidR="00717497" w:rsidRPr="00717497" w:rsidSect="00E75CC9">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E9D" w:rsidRDefault="00451E9D" w:rsidP="009F5CCF">
      <w:pPr>
        <w:spacing w:after="0" w:line="240" w:lineRule="auto"/>
      </w:pPr>
      <w:r>
        <w:separator/>
      </w:r>
    </w:p>
  </w:endnote>
  <w:endnote w:type="continuationSeparator" w:id="0">
    <w:p w:rsidR="00451E9D" w:rsidRDefault="00451E9D" w:rsidP="009F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E9D" w:rsidRDefault="00451E9D" w:rsidP="009F5CCF">
      <w:pPr>
        <w:spacing w:after="0" w:line="240" w:lineRule="auto"/>
      </w:pPr>
      <w:r>
        <w:separator/>
      </w:r>
    </w:p>
  </w:footnote>
  <w:footnote w:type="continuationSeparator" w:id="0">
    <w:p w:rsidR="00451E9D" w:rsidRDefault="00451E9D" w:rsidP="009F5C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C44" w:rsidRDefault="00712C44" w:rsidP="00615123">
    <w:pPr>
      <w:pStyle w:val="Nagwek"/>
      <w:jc w:val="right"/>
    </w:pPr>
    <w:r>
      <w:rPr>
        <w:noProof/>
        <w:lang w:eastAsia="pl-PL"/>
      </w:rPr>
      <w:drawing>
        <wp:anchor distT="0" distB="0" distL="114300" distR="114300" simplePos="0" relativeHeight="251658240" behindDoc="1" locked="0" layoutInCell="1" allowOverlap="1">
          <wp:simplePos x="0" y="0"/>
          <wp:positionH relativeFrom="margin">
            <wp:align>right</wp:align>
          </wp:positionH>
          <wp:positionV relativeFrom="paragraph">
            <wp:posOffset>-333735</wp:posOffset>
          </wp:positionV>
          <wp:extent cx="968400" cy="439200"/>
          <wp:effectExtent l="0" t="0" r="3175" b="0"/>
          <wp:wrapTight wrapText="bothSides">
            <wp:wrapPolygon edited="0">
              <wp:start x="0" y="0"/>
              <wp:lineTo x="0" y="20631"/>
              <wp:lineTo x="21246" y="20631"/>
              <wp:lineTo x="21246"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lor400_18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8400" cy="439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2987"/>
    <w:multiLevelType w:val="hybridMultilevel"/>
    <w:tmpl w:val="C7708B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8256B95"/>
    <w:multiLevelType w:val="hybridMultilevel"/>
    <w:tmpl w:val="78528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C074301"/>
    <w:multiLevelType w:val="hybridMultilevel"/>
    <w:tmpl w:val="3B62AA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9181845"/>
    <w:multiLevelType w:val="hybridMultilevel"/>
    <w:tmpl w:val="702819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D22736F"/>
    <w:multiLevelType w:val="hybridMultilevel"/>
    <w:tmpl w:val="BB16B7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39200C7"/>
    <w:multiLevelType w:val="hybridMultilevel"/>
    <w:tmpl w:val="25708F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AC35029"/>
    <w:multiLevelType w:val="hybridMultilevel"/>
    <w:tmpl w:val="A59CD9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B890485"/>
    <w:multiLevelType w:val="hybridMultilevel"/>
    <w:tmpl w:val="D16A46EE"/>
    <w:lvl w:ilvl="0" w:tplc="143224A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DD815E5"/>
    <w:multiLevelType w:val="hybridMultilevel"/>
    <w:tmpl w:val="7916E4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F4D0FB2"/>
    <w:multiLevelType w:val="hybridMultilevel"/>
    <w:tmpl w:val="8B5E16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4E02E83"/>
    <w:multiLevelType w:val="hybridMultilevel"/>
    <w:tmpl w:val="573055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6FF71A5D"/>
    <w:multiLevelType w:val="hybridMultilevel"/>
    <w:tmpl w:val="75E0B4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687676C"/>
    <w:multiLevelType w:val="hybridMultilevel"/>
    <w:tmpl w:val="78643A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7EE26C2F"/>
    <w:multiLevelType w:val="hybridMultilevel"/>
    <w:tmpl w:val="B30C7A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1"/>
  </w:num>
  <w:num w:numId="3">
    <w:abstractNumId w:val="0"/>
  </w:num>
  <w:num w:numId="4">
    <w:abstractNumId w:val="6"/>
  </w:num>
  <w:num w:numId="5">
    <w:abstractNumId w:val="10"/>
  </w:num>
  <w:num w:numId="6">
    <w:abstractNumId w:val="4"/>
  </w:num>
  <w:num w:numId="7">
    <w:abstractNumId w:val="1"/>
  </w:num>
  <w:num w:numId="8">
    <w:abstractNumId w:val="7"/>
  </w:num>
  <w:num w:numId="9">
    <w:abstractNumId w:val="13"/>
  </w:num>
  <w:num w:numId="10">
    <w:abstractNumId w:val="2"/>
  </w:num>
  <w:num w:numId="11">
    <w:abstractNumId w:val="12"/>
  </w:num>
  <w:num w:numId="12">
    <w:abstractNumId w:val="5"/>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4AC"/>
    <w:rsid w:val="00003C94"/>
    <w:rsid w:val="0003004F"/>
    <w:rsid w:val="00034FE5"/>
    <w:rsid w:val="00041500"/>
    <w:rsid w:val="00045857"/>
    <w:rsid w:val="000619A7"/>
    <w:rsid w:val="00064A18"/>
    <w:rsid w:val="00071F9F"/>
    <w:rsid w:val="000A2931"/>
    <w:rsid w:val="000B5BA0"/>
    <w:rsid w:val="000B624A"/>
    <w:rsid w:val="000B7394"/>
    <w:rsid w:val="000C1687"/>
    <w:rsid w:val="000C359E"/>
    <w:rsid w:val="000E7A34"/>
    <w:rsid w:val="00100EF2"/>
    <w:rsid w:val="00125BA9"/>
    <w:rsid w:val="001300AD"/>
    <w:rsid w:val="001413BA"/>
    <w:rsid w:val="00146B06"/>
    <w:rsid w:val="001470E6"/>
    <w:rsid w:val="0016005D"/>
    <w:rsid w:val="0019454E"/>
    <w:rsid w:val="001A3C22"/>
    <w:rsid w:val="001C3341"/>
    <w:rsid w:val="001E485D"/>
    <w:rsid w:val="001E69F9"/>
    <w:rsid w:val="001F4638"/>
    <w:rsid w:val="001F6D3C"/>
    <w:rsid w:val="0021351F"/>
    <w:rsid w:val="00214C4E"/>
    <w:rsid w:val="00223B9E"/>
    <w:rsid w:val="00230B4C"/>
    <w:rsid w:val="00235C12"/>
    <w:rsid w:val="00241D05"/>
    <w:rsid w:val="00261360"/>
    <w:rsid w:val="00261406"/>
    <w:rsid w:val="00261671"/>
    <w:rsid w:val="002669BF"/>
    <w:rsid w:val="00271399"/>
    <w:rsid w:val="00283C93"/>
    <w:rsid w:val="00285C3B"/>
    <w:rsid w:val="002924AC"/>
    <w:rsid w:val="00293B55"/>
    <w:rsid w:val="002961DF"/>
    <w:rsid w:val="002B26B8"/>
    <w:rsid w:val="002B71F6"/>
    <w:rsid w:val="002C03D3"/>
    <w:rsid w:val="002C2563"/>
    <w:rsid w:val="002D76A3"/>
    <w:rsid w:val="002E36D5"/>
    <w:rsid w:val="002F62A6"/>
    <w:rsid w:val="003035E8"/>
    <w:rsid w:val="00307F10"/>
    <w:rsid w:val="00322B52"/>
    <w:rsid w:val="00327188"/>
    <w:rsid w:val="0033058B"/>
    <w:rsid w:val="00332E61"/>
    <w:rsid w:val="00340940"/>
    <w:rsid w:val="00342554"/>
    <w:rsid w:val="003447FA"/>
    <w:rsid w:val="00345109"/>
    <w:rsid w:val="0035061F"/>
    <w:rsid w:val="0035206D"/>
    <w:rsid w:val="00353FD8"/>
    <w:rsid w:val="003550B8"/>
    <w:rsid w:val="00356502"/>
    <w:rsid w:val="003570AA"/>
    <w:rsid w:val="00361AE3"/>
    <w:rsid w:val="00366257"/>
    <w:rsid w:val="00367DD6"/>
    <w:rsid w:val="00371EAD"/>
    <w:rsid w:val="003749EE"/>
    <w:rsid w:val="00374A12"/>
    <w:rsid w:val="00374CB2"/>
    <w:rsid w:val="00374CD2"/>
    <w:rsid w:val="00377439"/>
    <w:rsid w:val="00383CE9"/>
    <w:rsid w:val="00384B9D"/>
    <w:rsid w:val="0039771E"/>
    <w:rsid w:val="003A25DA"/>
    <w:rsid w:val="003A5FB1"/>
    <w:rsid w:val="003C3858"/>
    <w:rsid w:val="003F6BC7"/>
    <w:rsid w:val="0040220A"/>
    <w:rsid w:val="004040FD"/>
    <w:rsid w:val="00405809"/>
    <w:rsid w:val="00406FE8"/>
    <w:rsid w:val="00424D78"/>
    <w:rsid w:val="00432D40"/>
    <w:rsid w:val="00433D61"/>
    <w:rsid w:val="004461A0"/>
    <w:rsid w:val="00446718"/>
    <w:rsid w:val="004473EF"/>
    <w:rsid w:val="00451E9D"/>
    <w:rsid w:val="00454CA8"/>
    <w:rsid w:val="0046005E"/>
    <w:rsid w:val="00481829"/>
    <w:rsid w:val="004A2650"/>
    <w:rsid w:val="004A4393"/>
    <w:rsid w:val="004A6A33"/>
    <w:rsid w:val="004B02DF"/>
    <w:rsid w:val="004B18C0"/>
    <w:rsid w:val="004D08E7"/>
    <w:rsid w:val="004E501E"/>
    <w:rsid w:val="004E58D4"/>
    <w:rsid w:val="004F28ED"/>
    <w:rsid w:val="004F5DB6"/>
    <w:rsid w:val="005250A8"/>
    <w:rsid w:val="005301CB"/>
    <w:rsid w:val="00532A12"/>
    <w:rsid w:val="00534BDA"/>
    <w:rsid w:val="00541C23"/>
    <w:rsid w:val="0055083D"/>
    <w:rsid w:val="0055258C"/>
    <w:rsid w:val="00552A8E"/>
    <w:rsid w:val="00573A5B"/>
    <w:rsid w:val="0057631D"/>
    <w:rsid w:val="005809DA"/>
    <w:rsid w:val="0058532D"/>
    <w:rsid w:val="00590A9B"/>
    <w:rsid w:val="005A096A"/>
    <w:rsid w:val="005B0E0E"/>
    <w:rsid w:val="005B713D"/>
    <w:rsid w:val="005C2F09"/>
    <w:rsid w:val="005C6270"/>
    <w:rsid w:val="005C7532"/>
    <w:rsid w:val="005D3908"/>
    <w:rsid w:val="005F75CB"/>
    <w:rsid w:val="00606250"/>
    <w:rsid w:val="006065B5"/>
    <w:rsid w:val="00607036"/>
    <w:rsid w:val="00614E63"/>
    <w:rsid w:val="00615123"/>
    <w:rsid w:val="006313C7"/>
    <w:rsid w:val="0063620B"/>
    <w:rsid w:val="00661A50"/>
    <w:rsid w:val="0067058B"/>
    <w:rsid w:val="00670741"/>
    <w:rsid w:val="006721AB"/>
    <w:rsid w:val="00675C2D"/>
    <w:rsid w:val="00682F37"/>
    <w:rsid w:val="00691060"/>
    <w:rsid w:val="006B005D"/>
    <w:rsid w:val="006F6481"/>
    <w:rsid w:val="006F67B4"/>
    <w:rsid w:val="007037C9"/>
    <w:rsid w:val="00706CF7"/>
    <w:rsid w:val="00707CAA"/>
    <w:rsid w:val="00710649"/>
    <w:rsid w:val="00712C44"/>
    <w:rsid w:val="00716F10"/>
    <w:rsid w:val="00717497"/>
    <w:rsid w:val="00732B84"/>
    <w:rsid w:val="00737EEC"/>
    <w:rsid w:val="007405E3"/>
    <w:rsid w:val="007620DC"/>
    <w:rsid w:val="007629D3"/>
    <w:rsid w:val="00773829"/>
    <w:rsid w:val="00784D55"/>
    <w:rsid w:val="007931D7"/>
    <w:rsid w:val="007937E3"/>
    <w:rsid w:val="007A72AE"/>
    <w:rsid w:val="007B7C68"/>
    <w:rsid w:val="007D5102"/>
    <w:rsid w:val="007F152B"/>
    <w:rsid w:val="007F3ED3"/>
    <w:rsid w:val="007F5A50"/>
    <w:rsid w:val="007F6A55"/>
    <w:rsid w:val="008004B1"/>
    <w:rsid w:val="0080119C"/>
    <w:rsid w:val="008134C5"/>
    <w:rsid w:val="0082758B"/>
    <w:rsid w:val="00843A91"/>
    <w:rsid w:val="008506AF"/>
    <w:rsid w:val="00853D6A"/>
    <w:rsid w:val="008712C6"/>
    <w:rsid w:val="00872A0A"/>
    <w:rsid w:val="00874BD3"/>
    <w:rsid w:val="00896345"/>
    <w:rsid w:val="008B39E8"/>
    <w:rsid w:val="008B4D61"/>
    <w:rsid w:val="008B5B5A"/>
    <w:rsid w:val="008C18C4"/>
    <w:rsid w:val="008F0E91"/>
    <w:rsid w:val="008F15D9"/>
    <w:rsid w:val="008F46C9"/>
    <w:rsid w:val="00911F51"/>
    <w:rsid w:val="00926BED"/>
    <w:rsid w:val="00930009"/>
    <w:rsid w:val="009436B6"/>
    <w:rsid w:val="009467D1"/>
    <w:rsid w:val="00965CD6"/>
    <w:rsid w:val="0096699C"/>
    <w:rsid w:val="009720C2"/>
    <w:rsid w:val="009922BC"/>
    <w:rsid w:val="00995ADF"/>
    <w:rsid w:val="00996E6B"/>
    <w:rsid w:val="009A0425"/>
    <w:rsid w:val="009C794B"/>
    <w:rsid w:val="009E0C82"/>
    <w:rsid w:val="009E0E19"/>
    <w:rsid w:val="009E1446"/>
    <w:rsid w:val="009F5CCF"/>
    <w:rsid w:val="00A0262D"/>
    <w:rsid w:val="00A07BED"/>
    <w:rsid w:val="00A22E58"/>
    <w:rsid w:val="00A252A6"/>
    <w:rsid w:val="00A405D5"/>
    <w:rsid w:val="00A44F4F"/>
    <w:rsid w:val="00A53EAD"/>
    <w:rsid w:val="00A55910"/>
    <w:rsid w:val="00A61366"/>
    <w:rsid w:val="00A61FE7"/>
    <w:rsid w:val="00A63697"/>
    <w:rsid w:val="00A66499"/>
    <w:rsid w:val="00A66B80"/>
    <w:rsid w:val="00A77296"/>
    <w:rsid w:val="00A82B8D"/>
    <w:rsid w:val="00A95DDE"/>
    <w:rsid w:val="00AA1E16"/>
    <w:rsid w:val="00AA22FC"/>
    <w:rsid w:val="00AA40ED"/>
    <w:rsid w:val="00AA56DC"/>
    <w:rsid w:val="00AB4AEF"/>
    <w:rsid w:val="00AD20E9"/>
    <w:rsid w:val="00AD41E7"/>
    <w:rsid w:val="00AD5073"/>
    <w:rsid w:val="00AD5E1A"/>
    <w:rsid w:val="00AE2945"/>
    <w:rsid w:val="00AE6C43"/>
    <w:rsid w:val="00B04277"/>
    <w:rsid w:val="00B05089"/>
    <w:rsid w:val="00B112B7"/>
    <w:rsid w:val="00B172D7"/>
    <w:rsid w:val="00B17D80"/>
    <w:rsid w:val="00B52D01"/>
    <w:rsid w:val="00B54D3F"/>
    <w:rsid w:val="00B63ADF"/>
    <w:rsid w:val="00B6432B"/>
    <w:rsid w:val="00B66C4F"/>
    <w:rsid w:val="00B71E02"/>
    <w:rsid w:val="00B7573D"/>
    <w:rsid w:val="00B75ACA"/>
    <w:rsid w:val="00B7724D"/>
    <w:rsid w:val="00BB2245"/>
    <w:rsid w:val="00BB682D"/>
    <w:rsid w:val="00BC3DDB"/>
    <w:rsid w:val="00BC74E6"/>
    <w:rsid w:val="00BC7630"/>
    <w:rsid w:val="00BC7674"/>
    <w:rsid w:val="00BD0C84"/>
    <w:rsid w:val="00BD0D7C"/>
    <w:rsid w:val="00BD7EE3"/>
    <w:rsid w:val="00BE2989"/>
    <w:rsid w:val="00BE4EF9"/>
    <w:rsid w:val="00BF3B86"/>
    <w:rsid w:val="00C12CFC"/>
    <w:rsid w:val="00C13A46"/>
    <w:rsid w:val="00C34BF1"/>
    <w:rsid w:val="00C55213"/>
    <w:rsid w:val="00C6784B"/>
    <w:rsid w:val="00C74B9C"/>
    <w:rsid w:val="00C902FD"/>
    <w:rsid w:val="00CA25A1"/>
    <w:rsid w:val="00CA7001"/>
    <w:rsid w:val="00CB34FB"/>
    <w:rsid w:val="00CB74BC"/>
    <w:rsid w:val="00CE06EF"/>
    <w:rsid w:val="00CF29D2"/>
    <w:rsid w:val="00D033DF"/>
    <w:rsid w:val="00D113B2"/>
    <w:rsid w:val="00D23619"/>
    <w:rsid w:val="00D237D9"/>
    <w:rsid w:val="00D43358"/>
    <w:rsid w:val="00D5794C"/>
    <w:rsid w:val="00D669C9"/>
    <w:rsid w:val="00D70780"/>
    <w:rsid w:val="00D72EC6"/>
    <w:rsid w:val="00D8080D"/>
    <w:rsid w:val="00D83A4F"/>
    <w:rsid w:val="00D90146"/>
    <w:rsid w:val="00D9216D"/>
    <w:rsid w:val="00DA5326"/>
    <w:rsid w:val="00DA6070"/>
    <w:rsid w:val="00DC157D"/>
    <w:rsid w:val="00DC592D"/>
    <w:rsid w:val="00DD415A"/>
    <w:rsid w:val="00DE09AB"/>
    <w:rsid w:val="00DE1CD3"/>
    <w:rsid w:val="00DF1C63"/>
    <w:rsid w:val="00E13BF3"/>
    <w:rsid w:val="00E15323"/>
    <w:rsid w:val="00E16829"/>
    <w:rsid w:val="00E72EBB"/>
    <w:rsid w:val="00E75CC9"/>
    <w:rsid w:val="00E9130A"/>
    <w:rsid w:val="00EC0160"/>
    <w:rsid w:val="00EC3EA9"/>
    <w:rsid w:val="00EC45BD"/>
    <w:rsid w:val="00EE2788"/>
    <w:rsid w:val="00EE67A0"/>
    <w:rsid w:val="00F044BB"/>
    <w:rsid w:val="00F04DC7"/>
    <w:rsid w:val="00F20BB9"/>
    <w:rsid w:val="00F2598F"/>
    <w:rsid w:val="00F30A63"/>
    <w:rsid w:val="00F30C1C"/>
    <w:rsid w:val="00F5405E"/>
    <w:rsid w:val="00F63BCF"/>
    <w:rsid w:val="00F7442F"/>
    <w:rsid w:val="00F74AAA"/>
    <w:rsid w:val="00F766BC"/>
    <w:rsid w:val="00F825BD"/>
    <w:rsid w:val="00F8394E"/>
    <w:rsid w:val="00F9605D"/>
    <w:rsid w:val="00F962C1"/>
    <w:rsid w:val="00FA4D92"/>
    <w:rsid w:val="00FA4DD2"/>
    <w:rsid w:val="00FB4550"/>
    <w:rsid w:val="00FB75AB"/>
    <w:rsid w:val="00FD434C"/>
    <w:rsid w:val="00FD6209"/>
    <w:rsid w:val="00FD63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5CC9"/>
  </w:style>
  <w:style w:type="paragraph" w:styleId="Nagwek1">
    <w:name w:val="heading 1"/>
    <w:basedOn w:val="Normalny"/>
    <w:next w:val="Normalny"/>
    <w:link w:val="Nagwek1Znak"/>
    <w:uiPriority w:val="9"/>
    <w:qFormat/>
    <w:rsid w:val="002924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600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616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924AC"/>
    <w:rPr>
      <w:rFonts w:asciiTheme="majorHAnsi" w:eastAsiaTheme="majorEastAsia" w:hAnsiTheme="majorHAnsi" w:cstheme="majorBidi"/>
      <w:color w:val="2E74B5" w:themeColor="accent1" w:themeShade="BF"/>
      <w:sz w:val="32"/>
      <w:szCs w:val="32"/>
    </w:rPr>
  </w:style>
  <w:style w:type="paragraph" w:styleId="Akapitzlist">
    <w:name w:val="List Paragraph"/>
    <w:basedOn w:val="Normalny"/>
    <w:uiPriority w:val="34"/>
    <w:qFormat/>
    <w:rsid w:val="00A44F4F"/>
    <w:pPr>
      <w:ind w:left="720"/>
      <w:contextualSpacing/>
    </w:pPr>
  </w:style>
  <w:style w:type="paragraph" w:styleId="Nagwek">
    <w:name w:val="header"/>
    <w:basedOn w:val="Normalny"/>
    <w:link w:val="NagwekZnak"/>
    <w:uiPriority w:val="99"/>
    <w:unhideWhenUsed/>
    <w:rsid w:val="009F5C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5CCF"/>
  </w:style>
  <w:style w:type="paragraph" w:styleId="Stopka">
    <w:name w:val="footer"/>
    <w:basedOn w:val="Normalny"/>
    <w:link w:val="StopkaZnak"/>
    <w:uiPriority w:val="99"/>
    <w:unhideWhenUsed/>
    <w:rsid w:val="009F5C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5CCF"/>
  </w:style>
  <w:style w:type="character" w:styleId="Hipercze">
    <w:name w:val="Hyperlink"/>
    <w:basedOn w:val="Domylnaczcionkaakapitu"/>
    <w:uiPriority w:val="99"/>
    <w:unhideWhenUsed/>
    <w:rsid w:val="0063620B"/>
    <w:rPr>
      <w:color w:val="0563C1" w:themeColor="hyperlink"/>
      <w:u w:val="single"/>
    </w:rPr>
  </w:style>
  <w:style w:type="character" w:customStyle="1" w:styleId="Nagwek2Znak">
    <w:name w:val="Nagłówek 2 Znak"/>
    <w:basedOn w:val="Domylnaczcionkaakapitu"/>
    <w:link w:val="Nagwek2"/>
    <w:uiPriority w:val="9"/>
    <w:rsid w:val="0016005D"/>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261671"/>
    <w:rPr>
      <w:rFonts w:asciiTheme="majorHAnsi" w:eastAsiaTheme="majorEastAsia" w:hAnsiTheme="majorHAnsi" w:cstheme="majorBidi"/>
      <w:color w:val="1F4D78" w:themeColor="accent1" w:themeShade="7F"/>
      <w:sz w:val="24"/>
      <w:szCs w:val="24"/>
    </w:rPr>
  </w:style>
  <w:style w:type="paragraph" w:styleId="Nagwekspisutreci">
    <w:name w:val="TOC Heading"/>
    <w:basedOn w:val="Nagwek1"/>
    <w:next w:val="Normalny"/>
    <w:uiPriority w:val="39"/>
    <w:unhideWhenUsed/>
    <w:qFormat/>
    <w:rsid w:val="005B0E0E"/>
    <w:pPr>
      <w:outlineLvl w:val="9"/>
    </w:pPr>
    <w:rPr>
      <w:lang w:eastAsia="pl-PL"/>
    </w:rPr>
  </w:style>
  <w:style w:type="paragraph" w:styleId="Spistreci1">
    <w:name w:val="toc 1"/>
    <w:basedOn w:val="Normalny"/>
    <w:next w:val="Normalny"/>
    <w:autoRedefine/>
    <w:uiPriority w:val="39"/>
    <w:unhideWhenUsed/>
    <w:rsid w:val="005B0E0E"/>
    <w:pPr>
      <w:spacing w:after="100"/>
    </w:pPr>
  </w:style>
  <w:style w:type="paragraph" w:styleId="Spistreci2">
    <w:name w:val="toc 2"/>
    <w:basedOn w:val="Normalny"/>
    <w:next w:val="Normalny"/>
    <w:autoRedefine/>
    <w:uiPriority w:val="39"/>
    <w:unhideWhenUsed/>
    <w:rsid w:val="005B0E0E"/>
    <w:pPr>
      <w:spacing w:after="100"/>
      <w:ind w:left="220"/>
    </w:pPr>
  </w:style>
  <w:style w:type="paragraph" w:styleId="Spistreci3">
    <w:name w:val="toc 3"/>
    <w:basedOn w:val="Normalny"/>
    <w:next w:val="Normalny"/>
    <w:autoRedefine/>
    <w:uiPriority w:val="39"/>
    <w:unhideWhenUsed/>
    <w:rsid w:val="005B0E0E"/>
    <w:pPr>
      <w:spacing w:after="100"/>
      <w:ind w:left="440"/>
    </w:pPr>
  </w:style>
  <w:style w:type="paragraph" w:styleId="Tekstdymka">
    <w:name w:val="Balloon Text"/>
    <w:basedOn w:val="Normalny"/>
    <w:link w:val="TekstdymkaZnak"/>
    <w:uiPriority w:val="99"/>
    <w:semiHidden/>
    <w:unhideWhenUsed/>
    <w:rsid w:val="002C256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2563"/>
    <w:rPr>
      <w:rFonts w:ascii="Tahoma" w:hAnsi="Tahoma" w:cs="Tahoma"/>
      <w:sz w:val="16"/>
      <w:szCs w:val="16"/>
    </w:rPr>
  </w:style>
  <w:style w:type="character" w:styleId="Odwoaniedokomentarza">
    <w:name w:val="annotation reference"/>
    <w:basedOn w:val="Domylnaczcionkaakapitu"/>
    <w:uiPriority w:val="99"/>
    <w:semiHidden/>
    <w:unhideWhenUsed/>
    <w:rsid w:val="00283C93"/>
    <w:rPr>
      <w:sz w:val="16"/>
      <w:szCs w:val="16"/>
    </w:rPr>
  </w:style>
  <w:style w:type="paragraph" w:styleId="Tekstkomentarza">
    <w:name w:val="annotation text"/>
    <w:basedOn w:val="Normalny"/>
    <w:link w:val="TekstkomentarzaZnak"/>
    <w:uiPriority w:val="99"/>
    <w:semiHidden/>
    <w:unhideWhenUsed/>
    <w:rsid w:val="00283C9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83C93"/>
    <w:rPr>
      <w:sz w:val="20"/>
      <w:szCs w:val="20"/>
    </w:rPr>
  </w:style>
  <w:style w:type="paragraph" w:styleId="Tematkomentarza">
    <w:name w:val="annotation subject"/>
    <w:basedOn w:val="Tekstkomentarza"/>
    <w:next w:val="Tekstkomentarza"/>
    <w:link w:val="TematkomentarzaZnak"/>
    <w:uiPriority w:val="99"/>
    <w:semiHidden/>
    <w:unhideWhenUsed/>
    <w:rsid w:val="00283C93"/>
    <w:rPr>
      <w:b/>
      <w:bCs/>
    </w:rPr>
  </w:style>
  <w:style w:type="character" w:customStyle="1" w:styleId="TematkomentarzaZnak">
    <w:name w:val="Temat komentarza Znak"/>
    <w:basedOn w:val="TekstkomentarzaZnak"/>
    <w:link w:val="Tematkomentarza"/>
    <w:uiPriority w:val="99"/>
    <w:semiHidden/>
    <w:rsid w:val="00283C9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5CC9"/>
  </w:style>
  <w:style w:type="paragraph" w:styleId="Nagwek1">
    <w:name w:val="heading 1"/>
    <w:basedOn w:val="Normalny"/>
    <w:next w:val="Normalny"/>
    <w:link w:val="Nagwek1Znak"/>
    <w:uiPriority w:val="9"/>
    <w:qFormat/>
    <w:rsid w:val="002924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600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616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924AC"/>
    <w:rPr>
      <w:rFonts w:asciiTheme="majorHAnsi" w:eastAsiaTheme="majorEastAsia" w:hAnsiTheme="majorHAnsi" w:cstheme="majorBidi"/>
      <w:color w:val="2E74B5" w:themeColor="accent1" w:themeShade="BF"/>
      <w:sz w:val="32"/>
      <w:szCs w:val="32"/>
    </w:rPr>
  </w:style>
  <w:style w:type="paragraph" w:styleId="Akapitzlist">
    <w:name w:val="List Paragraph"/>
    <w:basedOn w:val="Normalny"/>
    <w:uiPriority w:val="34"/>
    <w:qFormat/>
    <w:rsid w:val="00A44F4F"/>
    <w:pPr>
      <w:ind w:left="720"/>
      <w:contextualSpacing/>
    </w:pPr>
  </w:style>
  <w:style w:type="paragraph" w:styleId="Nagwek">
    <w:name w:val="header"/>
    <w:basedOn w:val="Normalny"/>
    <w:link w:val="NagwekZnak"/>
    <w:uiPriority w:val="99"/>
    <w:unhideWhenUsed/>
    <w:rsid w:val="009F5C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5CCF"/>
  </w:style>
  <w:style w:type="paragraph" w:styleId="Stopka">
    <w:name w:val="footer"/>
    <w:basedOn w:val="Normalny"/>
    <w:link w:val="StopkaZnak"/>
    <w:uiPriority w:val="99"/>
    <w:unhideWhenUsed/>
    <w:rsid w:val="009F5C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5CCF"/>
  </w:style>
  <w:style w:type="character" w:styleId="Hipercze">
    <w:name w:val="Hyperlink"/>
    <w:basedOn w:val="Domylnaczcionkaakapitu"/>
    <w:uiPriority w:val="99"/>
    <w:unhideWhenUsed/>
    <w:rsid w:val="0063620B"/>
    <w:rPr>
      <w:color w:val="0563C1" w:themeColor="hyperlink"/>
      <w:u w:val="single"/>
    </w:rPr>
  </w:style>
  <w:style w:type="character" w:customStyle="1" w:styleId="Nagwek2Znak">
    <w:name w:val="Nagłówek 2 Znak"/>
    <w:basedOn w:val="Domylnaczcionkaakapitu"/>
    <w:link w:val="Nagwek2"/>
    <w:uiPriority w:val="9"/>
    <w:rsid w:val="0016005D"/>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261671"/>
    <w:rPr>
      <w:rFonts w:asciiTheme="majorHAnsi" w:eastAsiaTheme="majorEastAsia" w:hAnsiTheme="majorHAnsi" w:cstheme="majorBidi"/>
      <w:color w:val="1F4D78" w:themeColor="accent1" w:themeShade="7F"/>
      <w:sz w:val="24"/>
      <w:szCs w:val="24"/>
    </w:rPr>
  </w:style>
  <w:style w:type="paragraph" w:styleId="Nagwekspisutreci">
    <w:name w:val="TOC Heading"/>
    <w:basedOn w:val="Nagwek1"/>
    <w:next w:val="Normalny"/>
    <w:uiPriority w:val="39"/>
    <w:unhideWhenUsed/>
    <w:qFormat/>
    <w:rsid w:val="005B0E0E"/>
    <w:pPr>
      <w:outlineLvl w:val="9"/>
    </w:pPr>
    <w:rPr>
      <w:lang w:eastAsia="pl-PL"/>
    </w:rPr>
  </w:style>
  <w:style w:type="paragraph" w:styleId="Spistreci1">
    <w:name w:val="toc 1"/>
    <w:basedOn w:val="Normalny"/>
    <w:next w:val="Normalny"/>
    <w:autoRedefine/>
    <w:uiPriority w:val="39"/>
    <w:unhideWhenUsed/>
    <w:rsid w:val="005B0E0E"/>
    <w:pPr>
      <w:spacing w:after="100"/>
    </w:pPr>
  </w:style>
  <w:style w:type="paragraph" w:styleId="Spistreci2">
    <w:name w:val="toc 2"/>
    <w:basedOn w:val="Normalny"/>
    <w:next w:val="Normalny"/>
    <w:autoRedefine/>
    <w:uiPriority w:val="39"/>
    <w:unhideWhenUsed/>
    <w:rsid w:val="005B0E0E"/>
    <w:pPr>
      <w:spacing w:after="100"/>
      <w:ind w:left="220"/>
    </w:pPr>
  </w:style>
  <w:style w:type="paragraph" w:styleId="Spistreci3">
    <w:name w:val="toc 3"/>
    <w:basedOn w:val="Normalny"/>
    <w:next w:val="Normalny"/>
    <w:autoRedefine/>
    <w:uiPriority w:val="39"/>
    <w:unhideWhenUsed/>
    <w:rsid w:val="005B0E0E"/>
    <w:pPr>
      <w:spacing w:after="100"/>
      <w:ind w:left="440"/>
    </w:pPr>
  </w:style>
  <w:style w:type="paragraph" w:styleId="Tekstdymka">
    <w:name w:val="Balloon Text"/>
    <w:basedOn w:val="Normalny"/>
    <w:link w:val="TekstdymkaZnak"/>
    <w:uiPriority w:val="99"/>
    <w:semiHidden/>
    <w:unhideWhenUsed/>
    <w:rsid w:val="002C256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2563"/>
    <w:rPr>
      <w:rFonts w:ascii="Tahoma" w:hAnsi="Tahoma" w:cs="Tahoma"/>
      <w:sz w:val="16"/>
      <w:szCs w:val="16"/>
    </w:rPr>
  </w:style>
  <w:style w:type="character" w:styleId="Odwoaniedokomentarza">
    <w:name w:val="annotation reference"/>
    <w:basedOn w:val="Domylnaczcionkaakapitu"/>
    <w:uiPriority w:val="99"/>
    <w:semiHidden/>
    <w:unhideWhenUsed/>
    <w:rsid w:val="00283C93"/>
    <w:rPr>
      <w:sz w:val="16"/>
      <w:szCs w:val="16"/>
    </w:rPr>
  </w:style>
  <w:style w:type="paragraph" w:styleId="Tekstkomentarza">
    <w:name w:val="annotation text"/>
    <w:basedOn w:val="Normalny"/>
    <w:link w:val="TekstkomentarzaZnak"/>
    <w:uiPriority w:val="99"/>
    <w:semiHidden/>
    <w:unhideWhenUsed/>
    <w:rsid w:val="00283C9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83C93"/>
    <w:rPr>
      <w:sz w:val="20"/>
      <w:szCs w:val="20"/>
    </w:rPr>
  </w:style>
  <w:style w:type="paragraph" w:styleId="Tematkomentarza">
    <w:name w:val="annotation subject"/>
    <w:basedOn w:val="Tekstkomentarza"/>
    <w:next w:val="Tekstkomentarza"/>
    <w:link w:val="TematkomentarzaZnak"/>
    <w:uiPriority w:val="99"/>
    <w:semiHidden/>
    <w:unhideWhenUsed/>
    <w:rsid w:val="00283C93"/>
    <w:rPr>
      <w:b/>
      <w:bCs/>
    </w:rPr>
  </w:style>
  <w:style w:type="character" w:customStyle="1" w:styleId="TematkomentarzaZnak">
    <w:name w:val="Temat komentarza Znak"/>
    <w:basedOn w:val="TekstkomentarzaZnak"/>
    <w:link w:val="Tematkomentarza"/>
    <w:uiPriority w:val="99"/>
    <w:semiHidden/>
    <w:rsid w:val="00283C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CFB35-D0BA-4729-953F-C320F81D2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2101</Words>
  <Characters>12610</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Kazimierz Tyc</dc:creator>
  <cp:lastModifiedBy>Tanska</cp:lastModifiedBy>
  <cp:revision>2</cp:revision>
  <cp:lastPrinted>2016-05-17T09:37:00Z</cp:lastPrinted>
  <dcterms:created xsi:type="dcterms:W3CDTF">2016-05-17T09:44:00Z</dcterms:created>
  <dcterms:modified xsi:type="dcterms:W3CDTF">2016-05-17T09:44:00Z</dcterms:modified>
</cp:coreProperties>
</file>