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6.png" ContentType="image/png"/>
  <Override PartName="/word/media/rId29.png" ContentType="image/png"/>
  <Override PartName="/word/media/rId35.png" ContentType="image/png"/>
  <Override PartName="/word/media/rId38.png" ContentType="image/pn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Programowanie</w:t>
      </w:r>
      <w:r>
        <w:t xml:space="preserve"> </w:t>
      </w:r>
      <w:r>
        <w:t xml:space="preserve">strukturalne</w:t>
      </w:r>
      <w:r>
        <w:t xml:space="preserve"> </w:t>
      </w:r>
      <w:r>
        <w:t xml:space="preserve">-</w:t>
      </w:r>
      <w:r>
        <w:t xml:space="preserve"> </w:t>
      </w:r>
      <w:r>
        <w:t xml:space="preserve">wykład</w:t>
      </w:r>
      <w:r>
        <w:t xml:space="preserve"> </w:t>
      </w:r>
      <w:r>
        <w:t xml:space="preserve">12</w:t>
      </w:r>
    </w:p>
    <w:bookmarkStart w:id="46" w:name="listy-jednokierunkowe"/>
    <w:p>
      <w:pPr>
        <w:pStyle w:val="Heading1"/>
      </w:pPr>
      <w:r>
        <w:t xml:space="preserve">Listy jednokierunkowe</w:t>
      </w:r>
    </w:p>
    <w:bookmarkStart w:id="44" w:name="listy-jednokierunkowe---opowieść"/>
    <w:p>
      <w:pPr>
        <w:pStyle w:val="Heading2"/>
      </w:pPr>
      <w:r>
        <w:t xml:space="preserve">Listy jednokierunkowe -</w:t>
      </w:r>
      <w:r>
        <w:t xml:space="preserve"> </w:t>
      </w:r>
      <w:r>
        <w:t xml:space="preserve">“</w:t>
      </w:r>
      <w:r>
        <w:t xml:space="preserve">opowieść</w:t>
      </w:r>
      <w:r>
        <w:t xml:space="preserve">”</w:t>
      </w:r>
    </w:p>
    <w:p>
      <w:pPr>
        <w:pStyle w:val="FirstParagraph"/>
      </w:pPr>
      <w:r>
        <w:t xml:space="preserve">Listy jednokierunkowe – jest to pewna złożona konstrukcja, która w sposób elastyczny pozwala nam trzymać elementy określonego typu. W odróżnieniu od tablic nie określamy z góry jego rozmiaru, więc z punktu widzenia programisty konstrukcja jest bardziej bezpieczna.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767137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jim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71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Idea implementacji w języku C polega na stworzeniu struktury elementy o składni:</w:t>
      </w:r>
    </w:p>
    <w:p>
      <w:pPr>
        <w:pStyle w:val="SourceCode"/>
      </w:pPr>
      <w:r>
        <w:rPr>
          <w:rStyle w:val="KeywordTok"/>
        </w:rPr>
        <w:t xml:space="preserve">struct</w:t>
      </w:r>
      <w:r>
        <w:rPr>
          <w:rStyle w:val="NormalTok"/>
        </w:rPr>
        <w:t xml:space="preserve"> element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struct</w:t>
      </w:r>
      <w:r>
        <w:rPr>
          <w:rStyle w:val="NormalTok"/>
        </w:rPr>
        <w:t xml:space="preserve"> element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next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};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Pole</w:t>
      </w:r>
      <w:r>
        <w:t xml:space="preserve"> </w:t>
      </w:r>
      <w:r>
        <w:rPr>
          <w:rStyle w:val="VerbatimChar"/>
        </w:rPr>
        <w:t xml:space="preserve">i</w:t>
      </w:r>
      <w:r>
        <w:t xml:space="preserve"> </w:t>
      </w:r>
      <w:r>
        <w:t xml:space="preserve">to wartość konkretngo elementu. Pole</w:t>
      </w:r>
      <w:r>
        <w:t xml:space="preserve"> </w:t>
      </w:r>
      <w:r>
        <w:rPr>
          <w:rStyle w:val="VerbatimChar"/>
        </w:rPr>
        <w:t xml:space="preserve">next</w:t>
      </w:r>
      <w:r>
        <w:t xml:space="preserve"> </w:t>
      </w:r>
      <w:r>
        <w:t xml:space="preserve">to wskaźnik na następnik. Przy tak elastycznej konstrukcji nie mamy zawsze pewności, w której „miejsce” w pamięci trafi kolejny element. Standardowo też powinniśmy na każdy elementy zarezerwować pamięć (poprzez funkcję</w:t>
      </w:r>
      <w:r>
        <w:t xml:space="preserve"> </w:t>
      </w:r>
      <w:r>
        <w:rPr>
          <w:rStyle w:val="VerbatimChar"/>
        </w:rPr>
        <w:t xml:space="preserve">malloc</w:t>
      </w:r>
      <w:r>
        <w:t xml:space="preserve">). Usuwając element możemy to wykonać zwalniając pamięć metodą</w:t>
      </w:r>
      <w:r>
        <w:t xml:space="preserve"> </w:t>
      </w:r>
      <w:r>
        <w:rPr>
          <w:rStyle w:val="VerbatimChar"/>
        </w:rPr>
        <w:t xml:space="preserve">free</w:t>
      </w:r>
      <w:r>
        <w:t xml:space="preserve">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Mamy podstawowe dwa rodzaj list: bez głowy i z głową. W przypadku listy z głową tworzymy pusty element „głowę” tak, aby wykonując operację na liście zawsze mieć stały „adres”/wskaźnik na początek listy (tak jak w przypadku tablic wskaźnik na listę to inaczej wskaźnik na pierwszy element). Co zyskujemy? Warto rozważyć sobie sytuację, kiedy mamy jakąś listę i chcemy dodać element na początek.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Rozważmy listę:</w:t>
      </w:r>
    </w:p>
    <w:p>
      <w:pPr>
        <w:pStyle w:val="BodyText"/>
      </w:pPr>
      <w:r>
        <w:drawing>
          <wp:inline>
            <wp:extent cx="5334000" cy="1781124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8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1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Lista bez głowy mogłaby by wyglądać tak:</w:t>
      </w:r>
    </w:p>
    <w:p>
      <w:pPr>
        <w:pStyle w:val="BodyText"/>
      </w:pPr>
      <w:r>
        <w:drawing>
          <wp:inline>
            <wp:extent cx="5334000" cy="1781124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8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1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Dodanie na początek wymaga zatem wykonania następujących operacji (bez uwzględnienia sytuacji kiedy bazowa lista jest pusta):</w:t>
      </w:r>
    </w:p>
    <w:p>
      <w:pPr>
        <w:numPr>
          <w:ilvl w:val="0"/>
          <w:numId w:val="1001"/>
        </w:numPr>
        <w:pStyle w:val="Compact"/>
      </w:pPr>
      <w:r>
        <w:t xml:space="preserve">Rezerwacja pamięci na nowy element</w:t>
      </w:r>
    </w:p>
    <w:p>
      <w:pPr>
        <w:numPr>
          <w:ilvl w:val="0"/>
          <w:numId w:val="1001"/>
        </w:numPr>
        <w:pStyle w:val="Compact"/>
      </w:pPr>
      <w:r>
        <w:t xml:space="preserve">Ustawienia wartości pola</w:t>
      </w:r>
      <w:r>
        <w:t xml:space="preserve"> </w:t>
      </w:r>
      <w:r>
        <w:rPr>
          <w:rStyle w:val="VerbatimChar"/>
        </w:rPr>
        <w:t xml:space="preserve">i</w:t>
      </w:r>
      <w:r>
        <w:t xml:space="preserve"> </w:t>
      </w:r>
      <w:r>
        <w:t xml:space="preserve">na nowym elemencie z punktu 1</w:t>
      </w:r>
    </w:p>
    <w:p>
      <w:pPr>
        <w:numPr>
          <w:ilvl w:val="0"/>
          <w:numId w:val="1001"/>
        </w:numPr>
        <w:pStyle w:val="Compact"/>
      </w:pPr>
      <w:r>
        <w:t xml:space="preserve">Pole</w:t>
      </w:r>
      <w:r>
        <w:t xml:space="preserve"> </w:t>
      </w:r>
      <w:r>
        <w:rPr>
          <w:rStyle w:val="VerbatimChar"/>
        </w:rPr>
        <w:t xml:space="preserve">next</w:t>
      </w:r>
      <w:r>
        <w:t xml:space="preserve"> </w:t>
      </w:r>
      <w:r>
        <w:t xml:space="preserve">nowego elementu z punktu 1 jest ustawiane jako adres pierwszej elementu początkowej listy</w:t>
      </w:r>
    </w:p>
    <w:p>
      <w:pPr>
        <w:numPr>
          <w:ilvl w:val="0"/>
          <w:numId w:val="1001"/>
        </w:numPr>
        <w:pStyle w:val="Compact"/>
      </w:pPr>
      <w:r>
        <w:t xml:space="preserve">Należy zmienić wskaźnik całej „listy” wskazując jako adres „nowy” element z punktu 1.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2395036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8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5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Kod w</w:t>
      </w:r>
      <w:r>
        <w:t xml:space="preserve"> </w:t>
      </w:r>
      <w:r>
        <w:rPr>
          <w:rStyle w:val="VerbatimChar"/>
        </w:rPr>
        <w:t xml:space="preserve">main</w:t>
      </w:r>
    </w:p>
    <w:p>
      <w:pPr>
        <w:pStyle w:val="BodyText"/>
      </w:pPr>
      <w:hyperlink r:id="rId32">
        <w:r>
          <w:rPr>
            <w:rStyle w:val="Hyperlink"/>
          </w:rPr>
          <w:t xml:space="preserve">https://gist.github.com/pjastr/c4623127a08d172c3304af4ae34093eb</w:t>
        </w:r>
      </w:hyperlink>
    </w:p>
    <w:p>
      <w:pPr>
        <w:pStyle w:val="BodyText"/>
      </w:pPr>
      <w:r>
        <w:t xml:space="preserve">Kod w funkcji</w:t>
      </w:r>
    </w:p>
    <w:p>
      <w:pPr>
        <w:pStyle w:val="BodyText"/>
      </w:pPr>
      <w:hyperlink r:id="rId33">
        <w:r>
          <w:rPr>
            <w:rStyle w:val="Hyperlink"/>
          </w:rPr>
          <w:t xml:space="preserve">https://gist.github.com/pjastr/2cd0d6fd27b064151384d0f0b87b33e0</w:t>
        </w:r>
      </w:hyperlink>
    </w:p>
    <w:p>
      <w:pPr>
        <w:pStyle w:val="BodyText"/>
      </w:pPr>
      <w:r>
        <w:t xml:space="preserve">Kod w funkcji - argument podwójny wskaźnik</w:t>
      </w:r>
    </w:p>
    <w:p>
      <w:pPr>
        <w:pStyle w:val="BodyText"/>
      </w:pPr>
      <w:hyperlink r:id="rId34">
        <w:r>
          <w:rPr>
            <w:rStyle w:val="Hyperlink"/>
          </w:rPr>
          <w:t xml:space="preserve">https://gist.github.com/pjastr/49205101fde486d55105eace93243f31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Rozważmy teraz przypadek listy z głową</w:t>
      </w:r>
    </w:p>
    <w:p>
      <w:pPr>
        <w:pStyle w:val="BodyText"/>
      </w:pPr>
      <w:r>
        <w:drawing>
          <wp:inline>
            <wp:extent cx="5334000" cy="2388245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8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8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Dodanie na początek (przy założeniu że bieżąca lista nie jest pusta) polega na wykonaniu operacji:</w:t>
      </w:r>
    </w:p>
    <w:p>
      <w:pPr>
        <w:numPr>
          <w:ilvl w:val="0"/>
          <w:numId w:val="1002"/>
        </w:numPr>
        <w:pStyle w:val="Compact"/>
      </w:pPr>
      <w:r>
        <w:t xml:space="preserve">Rezerwujemy pamięć na nowy element</w:t>
      </w:r>
    </w:p>
    <w:p>
      <w:pPr>
        <w:numPr>
          <w:ilvl w:val="0"/>
          <w:numId w:val="1002"/>
        </w:numPr>
        <w:pStyle w:val="Compact"/>
      </w:pPr>
      <w:r>
        <w:t xml:space="preserve">Ustawiamy wartość jako pole</w:t>
      </w:r>
      <w:r>
        <w:t xml:space="preserve"> </w:t>
      </w:r>
      <w:r>
        <w:rPr>
          <w:rStyle w:val="VerbatimChar"/>
        </w:rPr>
        <w:t xml:space="preserve">i</w:t>
      </w:r>
    </w:p>
    <w:p>
      <w:pPr>
        <w:numPr>
          <w:ilvl w:val="0"/>
          <w:numId w:val="1002"/>
        </w:numPr>
        <w:pStyle w:val="Compact"/>
      </w:pPr>
      <w:r>
        <w:t xml:space="preserve">Pole</w:t>
      </w:r>
      <w:r>
        <w:t xml:space="preserve"> </w:t>
      </w:r>
      <w:r>
        <w:rPr>
          <w:rStyle w:val="VerbatimChar"/>
        </w:rPr>
        <w:t xml:space="preserve">next</w:t>
      </w:r>
      <w:r>
        <w:t xml:space="preserve"> </w:t>
      </w:r>
      <w:r>
        <w:t xml:space="preserve">ustawiamy jako to co znajduje się w „głowie” w polu</w:t>
      </w:r>
      <w:r>
        <w:t xml:space="preserve"> </w:t>
      </w:r>
      <w:r>
        <w:rPr>
          <w:rStyle w:val="VerbatimChar"/>
        </w:rPr>
        <w:t xml:space="preserve">next</w:t>
      </w:r>
    </w:p>
    <w:p>
      <w:pPr>
        <w:numPr>
          <w:ilvl w:val="0"/>
          <w:numId w:val="1002"/>
        </w:numPr>
        <w:pStyle w:val="Compact"/>
      </w:pPr>
      <w:r>
        <w:t xml:space="preserve">Modyfikujemy pole</w:t>
      </w:r>
      <w:r>
        <w:t xml:space="preserve"> </w:t>
      </w:r>
      <w:r>
        <w:rPr>
          <w:rStyle w:val="VerbatimChar"/>
        </w:rPr>
        <w:t xml:space="preserve">next</w:t>
      </w:r>
      <w:r>
        <w:t xml:space="preserve"> </w:t>
      </w:r>
      <w:r>
        <w:t xml:space="preserve">w „głowie” ustawiając je jako wskaźnik na nowy element z punktu 1</w:t>
      </w:r>
    </w:p>
    <w:p>
      <w:pPr>
        <w:pStyle w:val="FirstParagraph"/>
      </w:pPr>
      <w:r>
        <w:t xml:space="preserve">Ważne: nie możemy zmienić kolejności punktu 3 i 4 bo zmieni to sens.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2995897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8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58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Kod w</w:t>
      </w:r>
      <w:r>
        <w:t xml:space="preserve"> </w:t>
      </w:r>
      <w:r>
        <w:rPr>
          <w:rStyle w:val="VerbatimChar"/>
        </w:rPr>
        <w:t xml:space="preserve">main</w:t>
      </w:r>
      <w:r>
        <w:t xml:space="preserve">:</w:t>
      </w:r>
    </w:p>
    <w:p>
      <w:pPr>
        <w:pStyle w:val="BodyText"/>
      </w:pPr>
      <w:hyperlink r:id="rId41">
        <w:r>
          <w:rPr>
            <w:rStyle w:val="Hyperlink"/>
          </w:rPr>
          <w:t xml:space="preserve">https://gist.github.com/pjastr/239641b4286caa767cccbea8e860e6bf</w:t>
        </w:r>
      </w:hyperlink>
    </w:p>
    <w:p>
      <w:pPr>
        <w:pStyle w:val="BodyText"/>
      </w:pPr>
      <w:r>
        <w:t xml:space="preserve">Kod przez funkcje:</w:t>
      </w:r>
    </w:p>
    <w:p>
      <w:pPr>
        <w:pStyle w:val="BodyText"/>
      </w:pPr>
      <w:hyperlink r:id="rId42">
        <w:r>
          <w:rPr>
            <w:rStyle w:val="Hyperlink"/>
          </w:rPr>
          <w:t xml:space="preserve">https://gist.github.com/pjastr/5cb344a75e93036183c36328272c1143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Co zyskujemy? To zależy od kontekstu w którym używamy i jakie operacje mamy. W wielu sytuacjach zmiana wskaźnika „początku” przy liście bez głowy jest operacją, która zwiększa tzw. złożoność obliczeniową (</w:t>
      </w:r>
      <w:hyperlink r:id="rId43">
        <w:r>
          <w:rPr>
            <w:rStyle w:val="Hyperlink"/>
          </w:rPr>
          <w:t xml:space="preserve">https://pl.wikipedia.org/wiki/Z%C5%82o%C5%BCono%C5%9B%C4%87_obliczeniowa</w:t>
        </w:r>
      </w:hyperlink>
      <w:r>
        <w:t xml:space="preserve">).</w:t>
      </w:r>
    </w:p>
    <w:p>
      <w:pPr>
        <w:pStyle w:val="BodyText"/>
      </w:pPr>
      <w:r>
        <w:t xml:space="preserve">Na dziś można sobie myśleć, że jest to „szybsze” (to też zależy od języka programowania).</w:t>
      </w:r>
    </w:p>
    <w:bookmarkEnd w:id="44"/>
    <w:bookmarkStart w:id="45" w:name="bibliografia"/>
    <w:p>
      <w:pPr>
        <w:pStyle w:val="Heading2"/>
      </w:pPr>
      <w:r>
        <w:t xml:space="preserve">Bibliografia</w:t>
      </w:r>
    </w:p>
    <w:p>
      <w:pPr>
        <w:numPr>
          <w:ilvl w:val="0"/>
          <w:numId w:val="1003"/>
        </w:numPr>
        <w:pStyle w:val="Compact"/>
      </w:pPr>
      <w:r>
        <w:t xml:space="preserve">Stephen Prata, Język C. Szkoła programowania. Wydanie VI, Wyd. Helion, 2016.</w:t>
      </w:r>
    </w:p>
    <w:bookmarkEnd w:id="45"/>
    <w:bookmarkEnd w:id="4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pl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color w:val="204a87"/>
      <w:shd w:val="clear" w:fill="f8f8f8"/>
      <w:b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000000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color w:val="000000"/>
      <w:shd w:val="clear" w:fill="f8f8f8"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color w:val="8f5902"/>
      <w:shd w:val="clear" w:fill="f8f8f8"/>
      <w:i/>
    </w:rPr>
  </w:style>
  <w:style w:type="character" w:customStyle="1" w:styleId="DocumentationTok">
    <w:name w:val="DocumentationTok"/>
    <w:basedOn w:val="VerbatimChar"/>
    <w:rPr>
      <w:color w:val="8f5902"/>
      <w:shd w:val="clear" w:fill="f8f8f8"/>
      <w:b/>
      <w:i/>
    </w:rPr>
  </w:style>
  <w:style w:type="character" w:customStyle="1" w:styleId="AnnotationTok">
    <w:name w:val="AnnotationTok"/>
    <w:basedOn w:val="VerbatimChar"/>
    <w:rPr>
      <w:color w:val="8f5902"/>
      <w:shd w:val="clear" w:fill="f8f8f8"/>
      <w:b/>
      <w:i/>
    </w:rPr>
  </w:style>
  <w:style w:type="character" w:customStyle="1" w:styleId="CommentVarTok">
    <w:name w:val="CommentVarTok"/>
    <w:basedOn w:val="VerbatimChar"/>
    <w:rPr>
      <w:color w:val="8f5902"/>
      <w:shd w:val="clear" w:fill="f8f8f8"/>
      <w:b/>
      <w:i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color w:val="000000"/>
      <w:shd w:val="clear" w:fill="f8f8f8"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color w:val="204a87"/>
      <w:shd w:val="clear" w:fill="f8f8f8"/>
      <w:b/>
    </w:rPr>
  </w:style>
  <w:style w:type="character" w:customStyle="1" w:styleId="OperatorTok">
    <w:name w:val="OperatorTok"/>
    <w:basedOn w:val="VerbatimChar"/>
    <w:rPr>
      <w:color w:val="ce5c00"/>
      <w:shd w:val="clear" w:fill="f8f8f8"/>
      <w:b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color w:val="8f5902"/>
      <w:shd w:val="clear" w:fill="f8f8f8"/>
      <w:i/>
    </w:rPr>
  </w:style>
  <w:style w:type="character" w:customStyle="1" w:styleId="AttributeTok">
    <w:name w:val="AttributeTok"/>
    <w:basedOn w:val="VerbatimChar"/>
    <w:rPr>
      <w:color w:val="c4a000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color w:val="8f5902"/>
      <w:shd w:val="clear" w:fill="f8f8f8"/>
      <w:b/>
      <w:i/>
    </w:rPr>
  </w:style>
  <w:style w:type="character" w:customStyle="1" w:styleId="WarningTok">
    <w:name w:val="WarningTok"/>
    <w:basedOn w:val="VerbatimChar"/>
    <w:rPr>
      <w:color w:val="8f5902"/>
      <w:shd w:val="clear" w:fill="f8f8f8"/>
      <w:b/>
      <w:i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color w:val="a40000"/>
      <w:shd w:val="clear" w:fill="f8f8f8"/>
      <w:b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20" Target="media/rId20.jpg" /><Relationship Type="http://schemas.openxmlformats.org/officeDocument/2006/relationships/hyperlink" Id="rId41" Target="https://gist.github.com/pjastr/239641b4286caa767cccbea8e860e6bf" TargetMode="External" /><Relationship Type="http://schemas.openxmlformats.org/officeDocument/2006/relationships/hyperlink" Id="rId33" Target="https://gist.github.com/pjastr/2cd0d6fd27b064151384d0f0b87b33e0" TargetMode="External" /><Relationship Type="http://schemas.openxmlformats.org/officeDocument/2006/relationships/hyperlink" Id="rId34" Target="https://gist.github.com/pjastr/49205101fde486d55105eace93243f31" TargetMode="External" /><Relationship Type="http://schemas.openxmlformats.org/officeDocument/2006/relationships/hyperlink" Id="rId42" Target="https://gist.github.com/pjastr/5cb344a75e93036183c36328272c1143" TargetMode="External" /><Relationship Type="http://schemas.openxmlformats.org/officeDocument/2006/relationships/hyperlink" Id="rId32" Target="https://gist.github.com/pjastr/c4623127a08d172c3304af4ae34093eb" TargetMode="External" /><Relationship Type="http://schemas.openxmlformats.org/officeDocument/2006/relationships/hyperlink" Id="rId43" Target="https://pl.wikipedia.org/wiki/Z%C5%82o%C5%BCono%C5%9B%C4%87_obliczeniowa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1" Target="https://gist.github.com/pjastr/239641b4286caa767cccbea8e860e6bf" TargetMode="External" /><Relationship Type="http://schemas.openxmlformats.org/officeDocument/2006/relationships/hyperlink" Id="rId33" Target="https://gist.github.com/pjastr/2cd0d6fd27b064151384d0f0b87b33e0" TargetMode="External" /><Relationship Type="http://schemas.openxmlformats.org/officeDocument/2006/relationships/hyperlink" Id="rId34" Target="https://gist.github.com/pjastr/49205101fde486d55105eace93243f31" TargetMode="External" /><Relationship Type="http://schemas.openxmlformats.org/officeDocument/2006/relationships/hyperlink" Id="rId42" Target="https://gist.github.com/pjastr/5cb344a75e93036183c36328272c1143" TargetMode="External" /><Relationship Type="http://schemas.openxmlformats.org/officeDocument/2006/relationships/hyperlink" Id="rId32" Target="https://gist.github.com/pjastr/c4623127a08d172c3304af4ae34093eb" TargetMode="External" /><Relationship Type="http://schemas.openxmlformats.org/officeDocument/2006/relationships/hyperlink" Id="rId43" Target="https://pl.wikipedia.org/wiki/Z%C5%82o%C5%BCono%C5%9B%C4%87_obliczeniowa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Programowanie strukturalne - wykład 12</dc:title>
  <dc:creator/>
  <dc:language>pl</dc:language>
  <cp:keywords/>
  <dcterms:created xsi:type="dcterms:W3CDTF">2022-05-18T04:26:48Z</dcterms:created>
  <dcterms:modified xsi:type="dcterms:W3CDTF">2022-05-18T04:26:48Z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