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16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Debug216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argumentami są dwa napisy. Funkcja ma zwrócić liczbę ile znaków znajduje się w obu napisach na tych samych pozycjach.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odwrócić kolejność elementów w wierszach o parzystych indeksach. Stwórz przypadek testowy.</w:t>
      </w:r>
    </w:p>
    <w:p>
      <w:pPr>
        <w:pStyle w:val="FirstParagraph"/>
      </w:pPr>
      <w:r>
        <w:t xml:space="preserve">Przykład.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→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11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typ wyliczeniowy</w:t>
      </w:r>
      <w:r>
        <w:t xml:space="preserve"> </w:t>
      </w:r>
      <w:r>
        <w:rPr>
          <w:rStyle w:val="VerbatimChar"/>
        </w:rPr>
        <w:t xml:space="preserve">Film</w:t>
      </w:r>
      <w:r>
        <w:t xml:space="preserve"> </w:t>
      </w:r>
      <w:r>
        <w:t xml:space="preserve">przechowujący gatunków filmów. Następnie stwórz program zawierający tablicę 6 elementów typu</w:t>
      </w:r>
      <w:r>
        <w:t xml:space="preserve"> </w:t>
      </w:r>
      <w:r>
        <w:rPr>
          <w:rStyle w:val="VerbatimChar"/>
        </w:rPr>
        <w:t xml:space="preserve">Film</w:t>
      </w:r>
      <w:r>
        <w:t xml:space="preserve">. Wypisz na konsoli zawartość tablicy używając instrukcji warunkowej.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a;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sumę liczb dodatnich znajdujących się na liście.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16</dc:title>
  <dc:creator/>
  <dc:language>pl</dc:language>
  <cp:keywords/>
  <dcterms:created xsi:type="dcterms:W3CDTF">2021-06-02T05:39:32Z</dcterms:created>
  <dcterms:modified xsi:type="dcterms:W3CDTF">2021-06-02T05:39:32Z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