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16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Debug16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wyświetlić na standardowym wyjściu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która ma dwa argumenty. Pierwszym argumentem jest wskaźnik na funkcję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resztę z dzielenia przez 5 wartości funkcji otrzymanej w pierwszym argumencie na liczbie całkowitej podanej w drugim argumencie.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r>
                      <m:t>0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r>
                      <m:t>n</m:t>
                    </m:r>
                    <m:r>
                      <m:t>=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rPr>
                        <m:nor/>
                        <m:sty m:val="p"/>
                      </m:rPr>
                      <m:t>jeśli </m:t>
                    </m:r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−</m:t>
                    </m:r>
                    <m:r>
                      <m:t>2</m:t>
                    </m:r>
                    <m:r>
                      <m:t>&gt;</m:t>
                    </m:r>
                    <m:r>
                      <m:t>0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</m:e>
                  <m:e>
                    <m:r>
                      <m:rPr>
                        <m:nor/>
                        <m:sty m:val="p"/>
                      </m:rPr>
                      <m:t>w przeciwnym wypadku.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podwoić wszystkie elementy nieparzyste w tablicy przekazanej jako argument.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16</dc:title>
  <dc:creator/>
  <dc:language>pl</dc:language>
  <cp:keywords/>
  <dcterms:created xsi:type="dcterms:W3CDTF">2021-04-26T06:05:03Z</dcterms:created>
  <dcterms:modified xsi:type="dcterms:W3CDTF">2021-04-26T06:05:03Z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