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13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Debug13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zwracać sumę:</w:t>
      </w:r>
    </w:p>
    <w:p>
      <w:pPr>
        <w:pStyle w:val="FirstParagraph"/>
      </w:pPr>
      <m:oMathPara>
        <m:oMathParaPr>
          <m:jc m:val="center"/>
        </m:oMathParaPr>
        <m:oMath>
          <m:r>
            <m:t>3</m:t>
          </m:r>
          <m:r>
            <m:t>+</m:t>
          </m:r>
          <m:r>
            <m:t>33</m:t>
          </m:r>
          <m:r>
            <m:t>+</m:t>
          </m:r>
          <m:r>
            <m:t>333</m:t>
          </m:r>
          <m:r>
            <m:t>+</m:t>
          </m:r>
          <m:r>
            <m:t>…</m:t>
          </m:r>
          <m:r>
            <m:t>+</m:t>
          </m:r>
          <m:limLow>
            <m:e>
              <m:limLow>
                <m:e>
                  <m:r>
                    <m:t>3</m:t>
                  </m:r>
                  <m:r>
                    <m:t>…</m:t>
                  </m:r>
                  <m:r>
                    <m:t>3</m:t>
                  </m:r>
                </m:e>
                <m:lim>
                  <m:r>
                    <m:t>⏟</m:t>
                  </m:r>
                </m:lim>
              </m:limLow>
            </m:e>
            <m:lim>
              <m:r>
                <m:t>n</m:t>
              </m:r>
              <m:r>
                <m:t> </m:t>
              </m:r>
              <m:r>
                <m:t>r</m:t>
              </m:r>
              <m:r>
                <m:t>a</m:t>
              </m:r>
              <m:r>
                <m:t>z</m:t>
              </m:r>
              <m:r>
                <m:t>y</m:t>
              </m:r>
            </m:lim>
          </m:limLow>
          <m:r>
            <m:t>.</m:t>
          </m:r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która ma dwa argumenty. Pierwszym argumentem jest wskaźnik na funkcję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resztę z dzielenia przez 7 wartości funkcji otrzymanej w pierwszym argumencie na liczbie całkowitej podanej w drugim argumencie.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</m:oMath>
      <w:r>
        <w:t xml:space="preserve">, a następnie wypisuje w kolejnych wierszach kolejne liczby nieparzyste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nieparzystych.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podwoić wszystkie elementy nieparzyste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13</dc:title>
  <dc:creator/>
  <dc:language>pl</dc:language>
  <cp:keywords/>
  <dcterms:created xsi:type="dcterms:W3CDTF">2021-04-26T06:04:46Z</dcterms:created>
  <dcterms:modified xsi:type="dcterms:W3CDTF">2021-04-26T06:04:46Z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