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Regulamin</w:t>
      </w:r>
      <w:r>
        <w:t xml:space="preserve"> </w:t>
      </w:r>
      <w:r>
        <w:t xml:space="preserve">Zajęć</w:t>
      </w:r>
    </w:p>
    <w:p>
      <w:pPr>
        <w:pStyle w:val="FirstParagraph"/>
      </w:pPr>
      <w:r>
        <w:t xml:space="preserve">Przedmiot: Architektura systemu teleinformatycznego państwa</w:t>
      </w:r>
    </w:p>
    <w:p>
      <w:pPr>
        <w:pStyle w:val="BodyText"/>
      </w:pPr>
      <w:r>
        <w:t xml:space="preserve">Rodzaj zajęć: wykład warsztatowy</w:t>
      </w:r>
    </w:p>
    <w:p>
      <w:pPr>
        <w:pStyle w:val="BodyText"/>
      </w:pPr>
      <w:r>
        <w:t xml:space="preserve">Kierunek: Administracja i cyfryzacja</w:t>
      </w:r>
    </w:p>
    <w:p>
      <w:pPr>
        <w:pStyle w:val="BodyText"/>
      </w:pPr>
      <w:r>
        <w:t xml:space="preserve">Specjalność: Administracja i cyfryzacja</w:t>
      </w:r>
    </w:p>
    <w:p>
      <w:pPr>
        <w:pStyle w:val="BodyText"/>
      </w:pPr>
      <w:r>
        <w:t xml:space="preserve">Poziom studiów: pierwszego stopnia / licencjackie</w:t>
      </w:r>
    </w:p>
    <w:p>
      <w:pPr>
        <w:pStyle w:val="BodyText"/>
      </w:pPr>
      <w:r>
        <w:t xml:space="preserve">Rodzaj studiów: studia stacjonarne</w:t>
      </w:r>
    </w:p>
    <w:p>
      <w:pPr>
        <w:pStyle w:val="BodyText"/>
      </w:pPr>
      <w:r>
        <w:t xml:space="preserve">Rok i semestr: rok III, semestr szósty</w:t>
      </w:r>
    </w:p>
    <w:p>
      <w:pPr>
        <w:pStyle w:val="BodyText"/>
      </w:pPr>
      <w:r>
        <w:t xml:space="preserve">Rok akademicki: 2018/2019</w:t>
      </w:r>
    </w:p>
    <w:p>
      <w:pPr>
        <w:pStyle w:val="BodyText"/>
      </w:pPr>
      <w:r>
        <w:t xml:space="preserve">Prowadzący: dr Piotr Jastrzębski,</w:t>
      </w:r>
      <w:r>
        <w:t xml:space="preserve"> </w:t>
      </w:r>
      <w:hyperlink r:id="rId21">
        <w:r>
          <w:rPr>
            <w:rStyle w:val="Hyperlink"/>
          </w:rPr>
          <w:t xml:space="preserve">piotr.jastrzebski@uwm.edu.pl</w:t>
        </w:r>
      </w:hyperlink>
      <w:r>
        <w:t xml:space="preserve">,</w:t>
      </w:r>
      <w:r>
        <w:t xml:space="preserve"> </w:t>
      </w:r>
      <w:hyperlink r:id="rId22">
        <w:r>
          <w:rPr>
            <w:rStyle w:val="Hyperlink"/>
          </w:rPr>
          <w:t xml:space="preserve">piojas@matman.uwm.edu.pl</w:t>
        </w:r>
      </w:hyperlink>
    </w:p>
    <w:p>
      <w:pPr>
        <w:pStyle w:val="BodyText"/>
      </w:pPr>
      <w:r>
        <w:t xml:space="preserve">Liczba punktów ECTS: 5</w:t>
      </w:r>
    </w:p>
    <w:p>
      <w:pPr>
        <w:pStyle w:val="Heading2"/>
      </w:pPr>
      <w:bookmarkStart w:id="23" w:name="wymagana-forma-uczestnictwa-w-zajeciach"/>
      <w:bookmarkEnd w:id="23"/>
      <w:r>
        <w:t xml:space="preserve">1. Wymagana forma uczestnictwa w zajęciach</w:t>
      </w:r>
    </w:p>
    <w:p>
      <w:pPr>
        <w:pStyle w:val="FirstParagraph"/>
      </w:pPr>
      <w:r>
        <w:t xml:space="preserve">Od uczestników wymagana jest obecność na wykładach.</w:t>
      </w:r>
    </w:p>
    <w:p>
      <w:pPr>
        <w:pStyle w:val="Heading2"/>
      </w:pPr>
      <w:bookmarkStart w:id="24" w:name="cele-ksztacenia."/>
      <w:bookmarkEnd w:id="24"/>
      <w:r>
        <w:t xml:space="preserve">2. Cele kształcenia.</w:t>
      </w:r>
    </w:p>
    <w:p>
      <w:pPr>
        <w:pStyle w:val="FirstParagraph"/>
      </w:pPr>
      <w:r>
        <w:t xml:space="preserve">Zadaniem zajęć jest przygotowanie studentów do samodzielnego poruszania się w systemie teleinformatycznym państwa. Student rozumie podstawowe pojęcia i architekturę systemu teleinformatycznego i potrafi formułować wnioski formalne dotyczące przewidywanych kierunków rozwoju i uzupełniania sieci. Stosując poznane metody oraz będzie w stanie nadzorować system zarządzania siecią.</w:t>
      </w:r>
    </w:p>
    <w:p>
      <w:pPr>
        <w:pStyle w:val="Heading2"/>
      </w:pPr>
      <w:bookmarkStart w:id="25" w:name="efekty-ksztacenia."/>
      <w:bookmarkEnd w:id="25"/>
      <w:r>
        <w:t xml:space="preserve">3. Efekty kształcenia.</w:t>
      </w:r>
    </w:p>
    <w:p>
      <w:pPr>
        <w:pStyle w:val="FirstParagraph"/>
      </w:pPr>
      <w:r>
        <w:rPr>
          <w:b/>
        </w:rPr>
        <w:t xml:space="preserve">Wiedza</w:t>
      </w:r>
    </w:p>
    <w:p>
      <w:pPr>
        <w:pStyle w:val="BodyText"/>
      </w:pPr>
      <w:r>
        <w:t xml:space="preserve">W1 - Wiedza związana z wykorzystaniem cyfrowych technologii w działaniu administracji.</w:t>
      </w:r>
    </w:p>
    <w:p>
      <w:pPr>
        <w:pStyle w:val="BodyText"/>
      </w:pPr>
      <w:r>
        <w:rPr>
          <w:b/>
        </w:rPr>
        <w:t xml:space="preserve">Umiejętności</w:t>
      </w:r>
    </w:p>
    <w:p>
      <w:pPr>
        <w:pStyle w:val="BodyText"/>
      </w:pPr>
      <w:r>
        <w:t xml:space="preserve">U1 - Umiejętność posługiwania się technikami informacyjno-komunikacyjnymi właściwymi do realizacji zadań typowych dla działalności administracji.</w:t>
      </w:r>
    </w:p>
    <w:p>
      <w:pPr>
        <w:pStyle w:val="BodyText"/>
      </w:pPr>
      <w:r>
        <w:rPr>
          <w:b/>
        </w:rPr>
        <w:t xml:space="preserve">Kompetencje społeczne</w:t>
      </w:r>
    </w:p>
    <w:p>
      <w:pPr>
        <w:pStyle w:val="BodyText"/>
      </w:pPr>
      <w:r>
        <w:t xml:space="preserve">K1 - Potrafi posługiwać się technikami informacyjno-komunikacyjnymi właściwymi do realizacji zadań typowych dla działalności administracji. Rozumie potrzebę uczenia się przez całe życie i szerzenia zdobytej wiedzy.</w:t>
      </w:r>
    </w:p>
    <w:p>
      <w:pPr>
        <w:pStyle w:val="Heading2"/>
      </w:pPr>
      <w:bookmarkStart w:id="26" w:name="literatura."/>
      <w:bookmarkEnd w:id="26"/>
      <w:r>
        <w:t xml:space="preserve">4. Literatura.</w:t>
      </w:r>
    </w:p>
    <w:p>
      <w:pPr>
        <w:numPr>
          <w:numId w:val="1001"/>
          <w:ilvl w:val="0"/>
        </w:numPr>
      </w:pPr>
      <w:r>
        <w:t xml:space="preserve">ISO/IEC 15408-3, Technologie informacyjne. Techniki bezpieczeństwa – kryteria oceny bezpieczeństwa informacji. Wymagania zapewnienia bezpieczeństwa.</w:t>
      </w:r>
    </w:p>
    <w:p>
      <w:pPr>
        <w:numPr>
          <w:numId w:val="1001"/>
          <w:ilvl w:val="0"/>
        </w:numPr>
      </w:pPr>
      <w:r>
        <w:t xml:space="preserve">Kowalewski M i inni, Aspekty bezpieczeństwa systemów teleinformatycznych, wyd. IŁ Warszawa, 2005.</w:t>
      </w:r>
    </w:p>
    <w:p>
      <w:pPr>
        <w:numPr>
          <w:numId w:val="1001"/>
          <w:ilvl w:val="0"/>
        </w:numPr>
      </w:pPr>
      <w:r>
        <w:t xml:space="preserve">Strategia szerokopasmowego dostępu do usług społeczeństwa informacyjnego w Polsce na lata 2007-20013, Dz.U. 2005 Nr 171 poz.1433 z późn. zm., 2007.</w:t>
      </w:r>
    </w:p>
    <w:p>
      <w:pPr>
        <w:numPr>
          <w:numId w:val="1001"/>
          <w:ilvl w:val="0"/>
        </w:numPr>
      </w:pPr>
      <w:r>
        <w:t xml:space="preserve">Rozporządzenie Prezesa Rady Ministrów z dnia 25 sierpnia 2005 r. w sprawie podstawowych wymagań bezpieczeństwa teleinformatycznego.</w:t>
      </w:r>
    </w:p>
    <w:p>
      <w:pPr>
        <w:pStyle w:val="Heading2"/>
      </w:pPr>
      <w:bookmarkStart w:id="27" w:name="sposob-biezacej-kontroli-wynikow-nauczania."/>
      <w:bookmarkEnd w:id="27"/>
      <w:r>
        <w:t xml:space="preserve">5. Sposób bieżącej kontroli wyników nauczania.</w:t>
      </w:r>
    </w:p>
    <w:p>
      <w:pPr>
        <w:pStyle w:val="FirstParagraph"/>
      </w:pPr>
      <w:r>
        <w:t xml:space="preserve">Brak.</w:t>
      </w:r>
    </w:p>
    <w:p>
      <w:pPr>
        <w:pStyle w:val="Heading2"/>
      </w:pPr>
      <w:bookmarkStart w:id="28" w:name="egzamin"/>
      <w:bookmarkEnd w:id="28"/>
      <w:r>
        <w:t xml:space="preserve">6. Egzamin</w:t>
      </w:r>
    </w:p>
    <w:p>
      <w:pPr>
        <w:pStyle w:val="FirstParagraph"/>
      </w:pPr>
      <w:r>
        <w:t xml:space="preserve">Egzamin odbędzie się w formie pisemnej: testu otwartu-zamkniętego. Wyniki zostaną ogłoszone w ciągu 7 dni od daty egzaminu w systemie USOS. Terminy egzaminów zostaną ustalone w porozumieniu ze studentami na jednym z wykładów i będą opublikowane na stronie www prowadzącego zajęcia. Warunkiem przystąpienia do egzaminu jest uzyskanie pozytywnej oceny z ćwiczeń.</w:t>
      </w:r>
    </w:p>
    <w:p>
      <w:pPr>
        <w:pStyle w:val="Heading2"/>
      </w:pPr>
      <w:bookmarkStart w:id="29" w:name="zasady-ustalania-oceny-z-egzaminu."/>
      <w:bookmarkEnd w:id="29"/>
      <w:r>
        <w:t xml:space="preserve">7. Zasady ustalania oceny z egzaminu.</w:t>
      </w:r>
    </w:p>
    <w:p>
      <w:pPr>
        <w:pStyle w:val="FirstParagraph"/>
      </w:pPr>
      <w:r>
        <w:t xml:space="preserve">Ocena z egzaminu będzie obliczana wg poniższego wzoru:</w:t>
      </w:r>
    </w:p>
    <w:p>
      <w:pPr>
        <w:pStyle w:val="Compact"/>
        <w:numPr>
          <w:numId w:val="1002"/>
          <w:ilvl w:val="0"/>
        </w:numPr>
      </w:pPr>
      <w:r>
        <w:t xml:space="preserve">0% - 50% punktów - ocena niedostateczna (2,0)</w:t>
      </w:r>
    </w:p>
    <w:p>
      <w:pPr>
        <w:pStyle w:val="Compact"/>
        <w:numPr>
          <w:numId w:val="1002"/>
          <w:ilvl w:val="0"/>
        </w:numPr>
      </w:pPr>
      <w:r>
        <w:t xml:space="preserve">51% - 64% punktów - ocena dostateczna (3,0)</w:t>
      </w:r>
    </w:p>
    <w:p>
      <w:pPr>
        <w:pStyle w:val="Compact"/>
        <w:numPr>
          <w:numId w:val="1002"/>
          <w:ilvl w:val="0"/>
        </w:numPr>
      </w:pPr>
      <w:r>
        <w:t xml:space="preserve">65% - 74% punktów - ocena dostateczna plus (3,5)</w:t>
      </w:r>
    </w:p>
    <w:p>
      <w:pPr>
        <w:pStyle w:val="Compact"/>
        <w:numPr>
          <w:numId w:val="1002"/>
          <w:ilvl w:val="0"/>
        </w:numPr>
      </w:pPr>
      <w:r>
        <w:t xml:space="preserve">75% - 84% punktów - ocena dobra (4,0)</w:t>
      </w:r>
    </w:p>
    <w:p>
      <w:pPr>
        <w:pStyle w:val="Compact"/>
        <w:numPr>
          <w:numId w:val="1002"/>
          <w:ilvl w:val="0"/>
        </w:numPr>
      </w:pPr>
      <w:r>
        <w:t xml:space="preserve">85% - 90% punktów - ocena dobra plus (4,5)</w:t>
      </w:r>
    </w:p>
    <w:p>
      <w:pPr>
        <w:pStyle w:val="Compact"/>
        <w:numPr>
          <w:numId w:val="1002"/>
          <w:ilvl w:val="0"/>
        </w:numPr>
      </w:pPr>
      <w:r>
        <w:t xml:space="preserve">91% - 100% punktów - ocena bardzo dobra (5,0)</w:t>
      </w:r>
    </w:p>
    <w:p>
      <w:pPr>
        <w:pStyle w:val="Heading2"/>
      </w:pPr>
      <w:bookmarkStart w:id="30" w:name="mozliwosc-korzystania-z-materiaow-pomocniczych-podczas-zaliczenia."/>
      <w:bookmarkEnd w:id="30"/>
      <w:r>
        <w:t xml:space="preserve">8. Możliwość korzystania z materiałów pomocniczych podczas zaliczenia.</w:t>
      </w:r>
    </w:p>
    <w:p>
      <w:pPr>
        <w:pStyle w:val="FirstParagraph"/>
      </w:pPr>
      <w:r>
        <w:t xml:space="preserve">Brak możliwości korzystania ze wszelkich materiałów pomocniczych.</w:t>
      </w:r>
    </w:p>
    <w:p>
      <w:pPr>
        <w:pStyle w:val="Heading2"/>
      </w:pPr>
      <w:bookmarkStart w:id="31" w:name="zasada-ustalania-oceny-koncowej-zaliczenia-przedmiotu."/>
      <w:bookmarkEnd w:id="31"/>
      <w:r>
        <w:t xml:space="preserve">9. Zasada ustalania oceny końcowej zaliczenia przedmiotu.</w:t>
      </w:r>
    </w:p>
    <w:p>
      <w:pPr>
        <w:pStyle w:val="FirstParagraph"/>
      </w:pPr>
      <w:r>
        <w:t xml:space="preserve">Zaliczenie wykładu będzie przyznane tym uczestnikom zajęć, którzy otrzymają pozytywną ocenę z ćwiczeń oraz pozytywną ocenę z egzaminu. Oceną końcową jest ocena za egzamin.</w:t>
      </w:r>
    </w:p>
    <w:p>
      <w:pPr>
        <w:pStyle w:val="Heading2"/>
      </w:pPr>
      <w:bookmarkStart w:id="32" w:name="konsultacje."/>
      <w:bookmarkEnd w:id="32"/>
      <w:r>
        <w:t xml:space="preserve">10. Konsultacje.</w:t>
      </w:r>
    </w:p>
    <w:p>
      <w:pPr>
        <w:pStyle w:val="FirstParagraph"/>
      </w:pPr>
      <w:r>
        <w:t xml:space="preserve">Aktualne terminy konsultacji dostępne są w systemie USOS i na stronie prowadzącego zajęcia.</w:t>
      </w:r>
    </w:p>
    <w:p>
      <w:pPr>
        <w:pStyle w:val="BodyText"/>
      </w:pPr>
      <w:r>
        <w:t xml:space="preserve">Ostatnia aktualizacja pliku: 2019-02-17 18:34:20.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9d4f6f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7039501f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e44a049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mailto:piojas@matman.uwm.edu.pl" TargetMode="External" /><Relationship Type="http://schemas.openxmlformats.org/officeDocument/2006/relationships/hyperlink" Id="rId21" Target="mailto:piotr.jastrzebski@uwm.edu.p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mailto:piojas@matman.uwm.edu.pl" TargetMode="External" /><Relationship Type="http://schemas.openxmlformats.org/officeDocument/2006/relationships/hyperlink" Id="rId21" Target="mailto:piotr.jastrzebski@uwm.edu.p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Zajęć</dc:title>
  <dc:creator/>
  <dcterms:created xsi:type="dcterms:W3CDTF">2019-02-17T17:34:21Z</dcterms:created>
  <dcterms:modified xsi:type="dcterms:W3CDTF">2019-02-17T17:34:21Z</dcterms:modified>
</cp:coreProperties>
</file>