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cicietrecitekstu"/>
        <w:ind w:firstLine="284"/>
        <w:rPr/>
      </w:pPr>
      <w:r>
        <w:rPr/>
        <w:t> </w:t>
      </w:r>
      <w:r>
        <w:rPr/>
        <w:t xml:space="preserve">Ostatnia kampania rozpoczęła się w 1268 roku. Pięć lat trwała bohaterska obrona bliźniaczych miast Xiangyang i Fancheng (po przeciwnych stronach rzeki Han), stanowiących kluczowy punkt strategiczny całego obszaru doliny Yangze </w:t>
      </w:r>
      <w:r>
        <w:rPr>
          <w:color w:val="FF0000"/>
        </w:rPr>
        <w:t>►1</w:t>
      </w:r>
      <w:r>
        <w:rPr/>
        <w:t>. Po upadku Xiangyangu w 1273 roku państwo Songów stanęło otworem przed najeźdźcą.</w:t>
      </w:r>
    </w:p>
    <w:p>
      <w:pPr>
        <w:pStyle w:val="Wcicietrecitekstu"/>
        <w:ind w:firstLine="284"/>
        <w:rPr/>
      </w:pPr>
      <w:r>
        <w:rPr/>
        <w:t>Niecałe cztery lata później wojska mongolskie zajęły stolicę Songów -  Hangzhou oraz wzięły do niewoli nieletniego cesarza Kung Ti</w:t>
      </w:r>
      <w:r>
        <w:rPr>
          <w:color w:val="99CC00"/>
        </w:rPr>
        <w:t xml:space="preserve"> </w:t>
      </w:r>
      <w:r>
        <w:rPr/>
        <w:t>(1275-76)</w:t>
      </w:r>
      <w:r>
        <w:rPr>
          <w:rStyle w:val="Zakotwiczenieprzypisudolnego"/>
        </w:rPr>
        <w:footnoteReference w:id="2"/>
      </w:r>
      <w:r>
        <w:rPr/>
        <w:t>. Wiosną 1279 roku flota mongolska</w:t>
      </w:r>
      <w:r>
        <w:rPr>
          <w:rStyle w:val="Zakotwiczenieprzypisudolnego"/>
        </w:rPr>
        <w:footnoteReference w:id="3"/>
      </w:r>
      <w:r>
        <w:rPr/>
        <w:t xml:space="preserve"> stoczyła ostatnią bitwę z resztkami sił Songów w Zatoce Kantońskiej </w:t>
      </w:r>
      <w:r>
        <w:rPr>
          <w:color w:val="FF0000"/>
        </w:rPr>
        <w:t>►2</w:t>
      </w:r>
      <w:r>
        <w:rPr/>
        <w:t xml:space="preserve"> . Aby uniknąć hańby dostojnik sungowski Lu Xiu Fu wziął niedawno mianowanego, mającego zaledwie dziewięć lat, ostatniego cesarza dynastii Sung  Ti Pinga (Bing) w swoje objęcia i skoczył do morza </w:t>
      </w:r>
      <w:r>
        <w:rPr>
          <w:color w:val="FF0000"/>
        </w:rPr>
        <w:t>►3</w:t>
      </w:r>
      <w:r>
        <w:rPr/>
        <w:t xml:space="preserve">. Dynastia Song upadła. Całe Chiny znalazły się pod panowaniem Wielkiego Chana </w:t>
      </w:r>
      <w:r>
        <w:rPr>
          <w:color w:val="FF0000"/>
        </w:rPr>
        <w:t>►4</w:t>
      </w:r>
      <w:r>
        <w:rPr/>
        <w:t xml:space="preserve"> .</w:t>
      </w:r>
    </w:p>
    <w:p>
      <w:pPr>
        <w:pStyle w:val="Wcicietrecitekstu"/>
        <w:ind w:firstLine="284"/>
        <w:rPr/>
      </w:pPr>
      <w:r>
        <w:rPr/>
        <w:t xml:space="preserve">W tym czasie na dworze Wielkiego Chana znaczne wpływy zdobył medyk z Koryŏ o imieniu Chŏ I. Wcześniej przebywał on przez trzy lata w Japonii i miał rozległą  wiedzę o tym kraju. Chŏ I przekazał Kubiłajowi mapę oraz wiele cennych wiadomości. Kubiłaj szybko powziął podejrzenie, że zdolny medyk jest szpiegiem i wydalił go z terenów imperium </w:t>
      </w:r>
      <w:r>
        <w:rPr>
          <w:color w:val="FF0000"/>
        </w:rPr>
        <w:t>►5</w:t>
      </w:r>
      <w:r>
        <w:rPr/>
        <w:t xml:space="preserve"> . Następny raz uwagę Chana na Japonię zwrócił król Koryŏ, który poprosił go o pomoc w obronie przed japońskimi piratami.</w:t>
      </w:r>
    </w:p>
    <w:p>
      <w:pPr>
        <w:pStyle w:val="Wcicietrecitekstu"/>
        <w:rPr/>
      </w:pPr>
      <w:r>
        <w:rPr/>
        <w:t>W 1266 r. Kubiłaj wysłał do Kraju Kwitnącej Wiśni pierwszych posłów. Wyposażył ich w przedmioty mające zaświadczyć o ich pozycji. Pierwszy otrzymał złotą tabliczkę z wygrawerowanym tygrysem, a drugi gładką złotą płytkę. W drogę do Japonii wyruszyli w towarzystwie eskorty wojowników z Koryŏ. Nie udało im się jednak dotrzeć do miejsca przeznaczenia z powodu sztormu (</w:t>
      </w:r>
      <w:r>
        <w:rPr>
          <w:i/>
          <w:iCs/>
        </w:rPr>
        <w:t>Ibid</w:t>
      </w:r>
      <w:r>
        <w:rPr/>
        <w:t>., s. 79).</w:t>
      </w:r>
    </w:p>
    <w:p>
      <w:pPr>
        <w:pStyle w:val="Wcicietrecitekstu"/>
        <w:ind w:firstLine="284"/>
        <w:rPr/>
      </w:pPr>
      <w:r>
        <w:rPr/>
        <w:t>Król Wŏnjong domyślił się, że nadchodzi kolejna wojna. Wysłał więc swoje własne poselstwo, a chanowi posłał wiadomość, że czyni tak z obawy o życie jego posłów w razie kolejnego sztormu. 5 stycznia 1268 roku poselstwo dotarło do Dazaifu. Japończycy przypuszczali, że król zdradza obie strony i poselstwo nie zostało ciepło przyjęte. Posłom udało się tylko przekazać listy, które zostały zawiezione do Kamakury.</w:t>
      </w:r>
    </w:p>
    <w:p>
      <w:pPr>
        <w:pStyle w:val="Wcicietrecitekstu"/>
        <w:ind w:firstLine="284"/>
        <w:rPr/>
      </w:pPr>
      <w:r>
        <w:rPr/>
        <w:t>Był to okres panowania cesarza Kameyama</w:t>
      </w:r>
      <w:r>
        <w:rPr>
          <w:rStyle w:val="Zakotwiczenieprzypisudolnego"/>
          <w:vertAlign w:val="superscript"/>
        </w:rPr>
        <w:footnoteReference w:id="4"/>
      </w:r>
      <w:r>
        <w:rPr/>
        <w:t xml:space="preserve"> (życie 1249-1304, panowanie 1259-1274) oraz okres faktycznych rządów shikkenów</w:t>
      </w:r>
      <w:r>
        <w:rPr>
          <w:rStyle w:val="Zakotwiczenieprzypisudolnego"/>
          <w:vertAlign w:val="superscript"/>
        </w:rPr>
        <w:footnoteReference w:id="5"/>
      </w:r>
      <w:r>
        <w:rPr/>
        <w:t xml:space="preserve"> z rodu Hōjō. Kiedy przybyło poselstwo z Koryŏ, urząd shikkena sprawował Hōjō Tokimune</w:t>
      </w:r>
      <w:r>
        <w:rPr>
          <w:rStyle w:val="Zakotwiczenieprzypisudolnego"/>
        </w:rPr>
        <w:footnoteReference w:id="6"/>
      </w:r>
      <w:r>
        <w:rPr/>
        <w:t xml:space="preserve"> (1251-1284). Yamada twierdzi, że Tokimune był młody, ale zdolny i odważny. Był wspaniałym wojownikiem, lecz jednocześnie świetnie wykształconym człowiek</w:t>
      </w:r>
      <w:r>
        <w:rPr/>
        <w:t>i</w:t>
      </w:r>
      <w:r>
        <w:rPr/>
        <w:t>em, otaczającym się mądrymi doradcami</w:t>
      </w:r>
      <w:r>
        <w:rPr>
          <w:rStyle w:val="Zakotwiczenieprzypisudolnego"/>
        </w:rPr>
        <w:footnoteReference w:id="7"/>
      </w:r>
      <w:r>
        <w:rPr/>
        <w:t xml:space="preserve"> i uczonymi mnichami z sekty zen</w:t>
      </w:r>
      <w:r>
        <w:rPr>
          <w:rStyle w:val="Zakotwiczenieprzypisudolnego"/>
          <w:vertAlign w:val="superscript"/>
        </w:rPr>
        <w:footnoteReference w:id="8"/>
      </w:r>
      <w:r>
        <w:rPr/>
        <w:t xml:space="preserve"> </w:t>
      </w:r>
      <w:r>
        <w:rPr>
          <w:color w:val="FF0000"/>
        </w:rPr>
        <w:t>►7</w:t>
      </w:r>
      <w:r>
        <w:rPr/>
        <w:t xml:space="preserve"> .</w:t>
      </w:r>
    </w:p>
    <w:p>
      <w:pPr>
        <w:pStyle w:val="Tretekstu"/>
        <w:ind w:firstLine="284"/>
        <w:rPr>
          <w:color w:val="339966"/>
        </w:rPr>
      </w:pPr>
      <w:r>
        <w:rPr/>
        <w:t>Posłaniec z listami dotarł do Kamakury po upływie miesiąca. Dokumenty zostały natychmiast przesłane do Kioto. Dwór cesarski nadal formalnie kontrolował sprawy stosunków zagranicznych i mimo, że w praktyce nie miał dość autorytetu do podjęcia decyzj</w:t>
      </w:r>
      <w:bookmarkStart w:id="0" w:name="_GoBack"/>
      <w:bookmarkEnd w:id="0"/>
      <w:r>
        <w:rPr/>
        <w:t xml:space="preserve">i, procedura wymagała, aby wydał opinię </w:t>
      </w:r>
      <w:r>
        <w:rPr>
          <w:color w:val="FF0000"/>
        </w:rPr>
        <w:t>►8</w:t>
      </w:r>
      <w:r>
        <w:rPr/>
        <w:t>. Cesarz Kameyama odczytał najpierw list koryŏański, a następnie mongolski, po czym niezwłocznie zwołał posiedzenie rady, której przewodniczył Hōjō Tokisuke</w:t>
      </w:r>
      <w:r>
        <w:rPr>
          <w:color w:val="FF0000"/>
        </w:rPr>
        <w:t xml:space="preserve"> </w:t>
      </w:r>
      <w:r>
        <w:rPr/>
        <w:t xml:space="preserve">(1264-1272). Tokisuke był najstarszym synem Tokiyoriego (1227-1263). Yamada zwraca uwagę na fakt, że został on odsunięty przez ojca od odziedziczenia tytułu </w:t>
      </w:r>
      <w:r>
        <w:rPr>
          <w:i/>
          <w:iCs/>
        </w:rPr>
        <w:t>shikkena</w:t>
      </w:r>
      <w:r>
        <w:rPr/>
        <w:t xml:space="preserve"> ze względu na słabość charakteru Prawdopodobnie pod jego wpływem rada ustaliła, iż najkorzystniej będzie grać na zwłokę i czekać na rozwój wydarzeń. Na jej polecenie arystokrata Sugawara Naganari napisał list do Kubiłaja (</w:t>
      </w:r>
      <w:r>
        <w:rPr>
          <w:i/>
          <w:iCs/>
        </w:rPr>
        <w:t>Ibid</w:t>
      </w:r>
      <w:r>
        <w:rPr/>
        <w:t xml:space="preserve">., s. 85). Odrzucał on żądania Mongołów, pozostawiając jednak otwartą drogę do dalszych negocjacji </w:t>
      </w:r>
      <w:r>
        <w:rPr>
          <w:color w:val="FF0000"/>
        </w:rPr>
        <w:t>►9</w:t>
      </w:r>
      <w:r>
        <w:rPr/>
        <w:t xml:space="preserve"> .</w:t>
      </w:r>
    </w:p>
    <w:p>
      <w:pPr>
        <w:pStyle w:val="Wcicietrecitekstu"/>
        <w:rPr/>
      </w:pPr>
      <w:r>
        <w:rPr/>
        <w:t xml:space="preserve">Według Nakaby, Tokimune sprzeciwił się wysłaniu tego listu, przekonując cesarza, że Jingū byłaby zasmucona słysząc o zaakceptowaniu tak obraźliwych słów od Koryŏ, zajmującego tereny królestw, które niegdyś zmusiła do płacenia trybutu. Następnie stwierdził, że nawet gdyby doszło do wojny to cały kraj powstanie, by chronić cesarza. Słowa </w:t>
      </w:r>
      <w:r>
        <w:rPr>
          <w:i/>
          <w:iCs/>
        </w:rPr>
        <w:t>shikkena</w:t>
      </w:r>
      <w:r>
        <w:rPr/>
        <w:t xml:space="preserve"> poruszyły cesarza do tego stopnia, że nakazał odesłać posłów bez odpowiedzi, a następnie polecił kilku dworzanom udać się do świątyni w Ise i wznieść modły o bezpieczeństwo kraju (</w:t>
      </w:r>
      <w:r>
        <w:rPr>
          <w:i/>
          <w:iCs/>
        </w:rPr>
        <w:t>Ibid</w:t>
      </w:r>
      <w:r>
        <w:rPr/>
        <w:t xml:space="preserve">., s. 87). </w:t>
      </w:r>
    </w:p>
    <w:p>
      <w:pPr>
        <w:pStyle w:val="Wcicietrecitekstu"/>
        <w:ind w:firstLine="284"/>
        <w:rPr/>
      </w:pPr>
      <w:r>
        <w:rPr/>
        <w:t xml:space="preserve">Sansom zaś podaje, że Kamakura zdecydowanie odrzuciła list cesarski. Pisze: </w:t>
      </w:r>
    </w:p>
    <w:p>
      <w:pPr>
        <w:pStyle w:val="Wcicietrecitekstu"/>
        <w:ind w:firstLine="284"/>
        <w:rPr>
          <w:i/>
          <w:i/>
          <w:iCs/>
        </w:rPr>
      </w:pPr>
      <w:r>
        <w:rPr>
          <w:i/>
          <w:iCs/>
        </w:rPr>
        <w:t>„</w:t>
      </w:r>
      <w:r>
        <w:rPr>
          <w:i/>
          <w:iCs/>
        </w:rPr>
        <w:t>Nie mogło być mowy o żadnych negocjacjach, ani o poddaniu się przez przywódców klasy wojowników, których dziedziczną funkcją była obrona kraju przed wrogami. Przyjęli twardą postawę i przygotowali się na atak, którego, wedle ich informacji, mogli spodziewać się nawet w przeciągu  kilku miesięcy.”</w:t>
      </w:r>
    </w:p>
    <w:p>
      <w:pPr>
        <w:pStyle w:val="Wcicietrecitekstu"/>
        <w:tabs>
          <w:tab w:val="clear" w:pos="708"/>
          <w:tab w:val="left" w:pos="6946" w:leader="none"/>
        </w:tabs>
        <w:rPr/>
      </w:pPr>
      <w:r>
        <w:rPr>
          <w:color w:val="FF0000"/>
        </w:rPr>
        <w:tab/>
        <w:t>►10</w:t>
      </w:r>
      <w:r>
        <w:rPr/>
        <w:t xml:space="preserve"> </w:t>
      </w:r>
    </w:p>
    <w:p>
      <w:pPr>
        <w:pStyle w:val="Wcicietrecitekstu"/>
        <w:ind w:firstLine="284"/>
        <w:rPr/>
      </w:pPr>
      <w:r>
        <w:rPr/>
        <w:t xml:space="preserve">Zastosowano „strategię ciszy” i po pół roku odesłano posłów bez słowa. Są trzy prawdopodobne powody podjęcia takiej decyzji. Po pierwsze, pokładano wiarę w siłę </w:t>
      </w:r>
      <w:r>
        <w:rPr>
          <w:i/>
          <w:iCs/>
        </w:rPr>
        <w:t>bushi</w:t>
      </w:r>
      <w:r>
        <w:rPr>
          <w:rStyle w:val="Zakotwiczenieprzypisudolnego"/>
        </w:rPr>
        <w:footnoteReference w:id="9"/>
      </w:r>
      <w:r>
        <w:rPr/>
        <w:t>. Po drugie, Japończycy z doświadczenia wiedzieli, jak trudna jest przeprawa armii przez morze. Zapewne zdawali sobie również sprawę z tego, że Mongołom, pochodzącym z głębi kontynentu, brakuje doświadczenia w sprawach związanych z żeglarstwem. Po trzecie, sojusz z Koryŏ mógł obniżać pozycję Mongołów w oczach Japończyków.</w:t>
      </w:r>
    </w:p>
    <w:sectPr>
      <w:footerReference w:type="default" r:id="rId2"/>
      <w:footnotePr>
        <w:numFmt w:val="decimal"/>
      </w:footnotePr>
      <w:type w:val="nextPage"/>
      <w:pgSz w:w="11906" w:h="16838"/>
      <w:pgMar w:left="1134" w:right="907" w:gutter="0" w:header="0" w:top="1134" w:footer="709"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66448534"/>
    </w:sdtPr>
    <w:sdtContent>
      <w:p>
        <w:pPr>
          <w:pStyle w:val="Stopka"/>
          <w:jc w:val="right"/>
          <w:rPr/>
        </w:pPr>
        <w:r>
          <w:rPr/>
          <w:fldChar w:fldCharType="begin"/>
        </w:r>
        <w:r>
          <w:rPr/>
          <w:instrText xml:space="preserve"> PAGE </w:instrText>
        </w:r>
        <w:r>
          <w:rPr/>
          <w:fldChar w:fldCharType="separate"/>
        </w:r>
        <w:r>
          <w:rPr/>
          <w:t>2</w:t>
        </w:r>
        <w:r>
          <w:rPr/>
          <w:fldChar w:fldCharType="end"/>
        </w:r>
      </w:p>
    </w:sdtContent>
  </w:sdt>
  <w:p>
    <w:pPr>
      <w:pStyle w:val="Stopk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rzypisdolny"/>
        <w:ind w:left="180" w:hanging="180"/>
        <w:rPr/>
      </w:pPr>
      <w:r>
        <w:rPr>
          <w:rStyle w:val="Znakiprzypiswdolnych"/>
        </w:rPr>
        <w:footnoteRef/>
      </w:r>
      <w:r>
        <w:rPr/>
        <w:tab/>
        <w:t xml:space="preserve"> </w:t>
      </w:r>
      <w:r>
        <w:rPr/>
        <w:t>Kubiłaj wypuścił Kung-ti i jego matkę, którzy po długiej wędrówce znaleźli się w Tybecie. Oboje wstąpili do klasztoru buddyjskiego (Kałużyński, 1983, s. 52).</w:t>
      </w:r>
    </w:p>
  </w:footnote>
  <w:footnote w:id="3">
    <w:p>
      <w:pPr>
        <w:pStyle w:val="Przypisdolny"/>
        <w:ind w:left="180" w:hanging="180"/>
        <w:rPr/>
      </w:pPr>
      <w:r>
        <w:rPr>
          <w:rStyle w:val="Znakiprzypiswdolnych"/>
        </w:rPr>
        <w:footnoteRef/>
      </w:r>
      <w:r>
        <w:rPr/>
        <w:tab/>
        <w:t xml:space="preserve"> </w:t>
      </w:r>
      <w:r>
        <w:rPr/>
        <w:t xml:space="preserve">Mongołowie korzystali z żaglowców sungowskich, które przeszły na ich stronę </w:t>
      </w:r>
      <w:r>
        <w:rPr>
          <w:color w:val="FF0000"/>
        </w:rPr>
        <w:t>►6</w:t>
      </w:r>
      <w:r>
        <w:rPr/>
        <w:t xml:space="preserve"> .</w:t>
      </w:r>
    </w:p>
  </w:footnote>
  <w:footnote w:id="4">
    <w:p>
      <w:pPr>
        <w:pStyle w:val="Przypisdolny"/>
        <w:ind w:left="180" w:hanging="180"/>
        <w:jc w:val="both"/>
        <w:rPr/>
      </w:pPr>
      <w:r>
        <w:rPr>
          <w:rStyle w:val="Znakiprzypiswdolnych"/>
        </w:rPr>
        <w:footnoteRef/>
      </w:r>
      <w:r>
        <w:rPr/>
        <w:tab/>
        <w:t xml:space="preserve"> </w:t>
      </w:r>
      <w:r>
        <w:rPr/>
        <w:t>Siódmy syn cesarza Gosaga, odziedziczył tron po bracie Gofukakusa w wieku 11 lat. Abdykował w wieku 26 lat na korzyść syna Gouda (1274-1287). W 1289 r. został mnichem buddyjskim i przyjął imię Kongōgen. Zmarł w 1304 r. w wieku 56 lat.</w:t>
      </w:r>
    </w:p>
  </w:footnote>
  <w:footnote w:id="5">
    <w:p>
      <w:pPr>
        <w:pStyle w:val="Przypisdolny"/>
        <w:ind w:left="180" w:hanging="180"/>
        <w:jc w:val="both"/>
        <w:rPr/>
      </w:pPr>
      <w:r>
        <w:rPr>
          <w:rStyle w:val="Znakiprzypiswdolnych"/>
        </w:rPr>
        <w:footnoteRef/>
      </w:r>
      <w:r>
        <w:rPr>
          <w:sz w:val="8"/>
        </w:rPr>
        <w:tab/>
        <w:t xml:space="preserve"> </w:t>
      </w:r>
      <w:r>
        <w:rPr/>
        <w:t xml:space="preserve">Jak już wcześniej wspominano, termin </w:t>
      </w:r>
      <w:r>
        <w:rPr>
          <w:i/>
          <w:iCs/>
        </w:rPr>
        <w:t>shikken</w:t>
      </w:r>
      <w:r>
        <w:rPr/>
        <w:t xml:space="preserve"> oznacza „regenta” rządzącego w imieniu shōguna. Pozycja shōgunów uległa znacznemu osłabieniu po śmierci Minamoto no Yoritomo, a pierwszym shikkenem z rodu Hōjō został Tokimasa (1138-1215) w 1203 roku. Hegemonia shikkenów z rodu Hōjō ustaliła się jednak dopiero w okresie sprawowania urzędu przez Yoshitokiego (1163-1224, od 1205 do 1224 r. shikken). Należy od razu nadmienić, że w tym czasie istniał w Japonii drugi urząd „regenta” nazywanego </w:t>
      </w:r>
      <w:r>
        <w:rPr>
          <w:i/>
          <w:iCs/>
        </w:rPr>
        <w:t xml:space="preserve">sesshō </w:t>
      </w:r>
      <w:r>
        <w:rPr/>
        <w:t xml:space="preserve">(regent przy nieletnnim cesarzu) lub </w:t>
      </w:r>
      <w:r>
        <w:rPr>
          <w:i/>
          <w:iCs/>
        </w:rPr>
        <w:t>kampaku</w:t>
      </w:r>
      <w:r>
        <w:rPr/>
        <w:t xml:space="preserve"> (regent przy dorosłym cesarzu). Regent cesarski sprawował nominalną władzę w sektorze cywilnym, podczas gdy shikken zarządzał sektorem militarnym.</w:t>
      </w:r>
    </w:p>
  </w:footnote>
  <w:footnote w:id="6">
    <w:p>
      <w:pPr>
        <w:pStyle w:val="Przypisdolny"/>
        <w:ind w:left="180" w:hanging="180"/>
        <w:jc w:val="both"/>
        <w:rPr/>
      </w:pPr>
      <w:r>
        <w:rPr>
          <w:rStyle w:val="Znakiprzypiswdolnych"/>
        </w:rPr>
        <w:footnoteRef/>
      </w:r>
      <w:r>
        <w:rPr/>
        <w:tab/>
        <w:t xml:space="preserve"> </w:t>
      </w:r>
      <w:r>
        <w:rPr/>
        <w:t>Urząd shikkena objął jako ósmy z rodu i sprawował go od roku 1268.</w:t>
      </w:r>
    </w:p>
  </w:footnote>
  <w:footnote w:id="7">
    <w:p>
      <w:pPr>
        <w:pStyle w:val="Przypisdolny"/>
        <w:ind w:left="180" w:hanging="180"/>
        <w:jc w:val="both"/>
        <w:rPr/>
      </w:pPr>
      <w:r>
        <w:rPr>
          <w:rStyle w:val="Znakiprzypiswdolnych"/>
        </w:rPr>
        <w:footnoteRef/>
      </w:r>
      <w:r>
        <w:rPr/>
        <w:tab/>
        <w:t xml:space="preserve"> </w:t>
      </w:r>
      <w:r>
        <w:rPr/>
        <w:t xml:space="preserve">Yamada wymienia jednego – Hōjō Masamurę, kontrsygnatariusza (renshō) Tokimune </w:t>
      </w:r>
      <w:r>
        <w:rPr>
          <w:color w:val="FF0000"/>
        </w:rPr>
        <w:t>►11</w:t>
      </w:r>
      <w:r>
        <w:rPr/>
        <w:t xml:space="preserve"> .</w:t>
      </w:r>
    </w:p>
  </w:footnote>
  <w:footnote w:id="8">
    <w:p>
      <w:pPr>
        <w:pStyle w:val="Przypisdolny"/>
        <w:ind w:left="180" w:hanging="180"/>
        <w:jc w:val="both"/>
        <w:rPr/>
      </w:pPr>
      <w:r>
        <w:rPr>
          <w:rStyle w:val="Znakiprzypiswdolnych"/>
        </w:rPr>
        <w:footnoteRef/>
      </w:r>
      <w:r>
        <w:rPr/>
        <w:tab/>
        <w:t xml:space="preserve"> </w:t>
      </w:r>
      <w:r>
        <w:rPr/>
        <w:t>Należeli do nich Doryū, Daikyū (1215-1289), Rankei oraz Bukko.</w:t>
      </w:r>
    </w:p>
  </w:footnote>
  <w:footnote w:id="9">
    <w:p>
      <w:pPr>
        <w:pStyle w:val="Przypisdolny"/>
        <w:tabs>
          <w:tab w:val="clear" w:pos="708"/>
          <w:tab w:val="left" w:pos="8110" w:leader="none"/>
        </w:tabs>
        <w:ind w:left="180" w:hanging="180"/>
        <w:jc w:val="both"/>
        <w:rPr>
          <w:lang w:val="en-US"/>
        </w:rPr>
      </w:pPr>
      <w:r>
        <w:rPr>
          <w:rStyle w:val="Znakiprzypiswdolnych"/>
        </w:rPr>
        <w:footnoteRef/>
      </w:r>
      <w:r>
        <w:rPr>
          <w:lang w:val="en-US"/>
        </w:rPr>
        <w:tab/>
        <w:t xml:space="preserve"> </w:t>
      </w:r>
      <w:r>
        <w:rPr>
          <w:lang w:val="en-US"/>
        </w:rPr>
        <w:t>Wojownik, samuraj.</w:t>
      </w:r>
    </w:p>
  </w:footnote>
</w:footnotes>
</file>

<file path=word/settings.xml><?xml version="1.0" encoding="utf-8"?>
<w:settings xmlns:w="http://schemas.openxmlformats.org/wordprocessingml/2006/main">
  <w:zoom w:percent="180"/>
  <w:defaultTabStop w:val="708"/>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97d53"/>
    <w:pPr>
      <w:widowControl/>
      <w:bidi w:val="0"/>
      <w:spacing w:lineRule="auto" w:line="240" w:before="0" w:after="0"/>
      <w:jc w:val="left"/>
    </w:pPr>
    <w:rPr>
      <w:rFonts w:ascii="Arial" w:hAnsi="Arial" w:eastAsia="MS Mincho" w:cs="Times New Roman"/>
      <w:bCs/>
      <w:color w:val="auto"/>
      <w:kern w:val="0"/>
      <w:sz w:val="24"/>
      <w:szCs w:val="24"/>
      <w:lang w:eastAsia="ja-JP" w:val="pl-PL" w:bidi="ar-SA"/>
    </w:rPr>
  </w:style>
  <w:style w:type="character" w:styleId="DefaultParagraphFont" w:default="1">
    <w:name w:val="Default Paragraph Font"/>
    <w:uiPriority w:val="1"/>
    <w:semiHidden/>
    <w:unhideWhenUsed/>
    <w:qFormat/>
    <w:rPr/>
  </w:style>
  <w:style w:type="character" w:styleId="Zakotwiczenieprzypisudolnego">
    <w:name w:val="Footnote Reference"/>
    <w:rPr>
      <w:vertAlign w:val="superscript"/>
    </w:rPr>
  </w:style>
  <w:style w:type="character" w:styleId="FootnoteCharacters">
    <w:name w:val="Footnote Characters"/>
    <w:basedOn w:val="DefaultParagraphFont"/>
    <w:semiHidden/>
    <w:qFormat/>
    <w:rsid w:val="00197d53"/>
    <w:rPr>
      <w:vertAlign w:val="superscript"/>
    </w:rPr>
  </w:style>
  <w:style w:type="character" w:styleId="TekstpodstawowywcityZnak" w:customStyle="1">
    <w:name w:val="Tekst podstawowy wcięty Znak"/>
    <w:basedOn w:val="DefaultParagraphFont"/>
    <w:semiHidden/>
    <w:qFormat/>
    <w:rsid w:val="00197d53"/>
    <w:rPr>
      <w:rFonts w:ascii="Times New Roman" w:hAnsi="Times New Roman" w:eastAsia="Times New Roman" w:cs="Times New Roman"/>
      <w:sz w:val="24"/>
      <w:szCs w:val="24"/>
      <w:lang w:eastAsia="pl-PL"/>
    </w:rPr>
  </w:style>
  <w:style w:type="character" w:styleId="TekstpodstawowyZnak" w:customStyle="1">
    <w:name w:val="Tekst podstawowy Znak"/>
    <w:basedOn w:val="DefaultParagraphFont"/>
    <w:semiHidden/>
    <w:qFormat/>
    <w:rsid w:val="00197d53"/>
    <w:rPr>
      <w:rFonts w:ascii="Times New Roman" w:hAnsi="Times New Roman" w:eastAsia="Times New Roman" w:cs="Times New Roman"/>
      <w:sz w:val="24"/>
      <w:szCs w:val="24"/>
      <w:lang w:eastAsia="pl-PL"/>
    </w:rPr>
  </w:style>
  <w:style w:type="character" w:styleId="TekstprzypisudolnegoZnak" w:customStyle="1">
    <w:name w:val="Tekst przypisu dolnego Znak"/>
    <w:basedOn w:val="DefaultParagraphFont"/>
    <w:semiHidden/>
    <w:qFormat/>
    <w:rsid w:val="00197d53"/>
    <w:rPr>
      <w:rFonts w:ascii="Times New Roman" w:hAnsi="Times New Roman" w:eastAsia="Times New Roman" w:cs="Times New Roman"/>
      <w:sz w:val="20"/>
      <w:szCs w:val="20"/>
      <w:lang w:eastAsia="pl-PL"/>
    </w:rPr>
  </w:style>
  <w:style w:type="character" w:styleId="TekstdymkaZnak" w:customStyle="1">
    <w:name w:val="Tekst dymka Znak"/>
    <w:basedOn w:val="DefaultParagraphFont"/>
    <w:link w:val="BalloonText"/>
    <w:uiPriority w:val="99"/>
    <w:semiHidden/>
    <w:qFormat/>
    <w:rsid w:val="00197d53"/>
    <w:rPr>
      <w:rFonts w:ascii="Tahoma" w:hAnsi="Tahoma" w:eastAsia="MS Mincho" w:cs="Tahoma"/>
      <w:bCs/>
      <w:sz w:val="16"/>
      <w:szCs w:val="16"/>
      <w:lang w:eastAsia="ja-JP"/>
    </w:rPr>
  </w:style>
  <w:style w:type="character" w:styleId="NagwekZnak" w:customStyle="1">
    <w:name w:val="Nagłówek Znak"/>
    <w:basedOn w:val="DefaultParagraphFont"/>
    <w:uiPriority w:val="99"/>
    <w:qFormat/>
    <w:rsid w:val="00d95ac4"/>
    <w:rPr>
      <w:rFonts w:ascii="Arial" w:hAnsi="Arial" w:eastAsia="MS Mincho" w:cs="Times New Roman"/>
      <w:bCs/>
      <w:sz w:val="24"/>
      <w:szCs w:val="24"/>
      <w:lang w:eastAsia="ja-JP"/>
    </w:rPr>
  </w:style>
  <w:style w:type="character" w:styleId="StopkaZnak" w:customStyle="1">
    <w:name w:val="Stopka Znak"/>
    <w:basedOn w:val="DefaultParagraphFont"/>
    <w:uiPriority w:val="99"/>
    <w:qFormat/>
    <w:rsid w:val="00d95ac4"/>
    <w:rPr>
      <w:rFonts w:ascii="Arial" w:hAnsi="Arial" w:eastAsia="MS Mincho" w:cs="Times New Roman"/>
      <w:bCs/>
      <w:sz w:val="24"/>
      <w:szCs w:val="24"/>
      <w:lang w:eastAsia="ja-JP"/>
    </w:rPr>
  </w:style>
  <w:style w:type="character" w:styleId="Znakiprzypiswdolnych">
    <w:name w:val="Znaki przypisów dolnych"/>
    <w:qFormat/>
    <w:rPr/>
  </w:style>
  <w:style w:type="character" w:styleId="Zakotwiczenieprzypisukocowego">
    <w:name w:val="Endnote Reference"/>
    <w:rPr>
      <w:vertAlign w:val="superscript"/>
    </w:rPr>
  </w:style>
  <w:style w:type="character" w:styleId="Znakiprzypiswkocowych">
    <w:name w:val="Znaki przypisów końcowych"/>
    <w:qFormat/>
    <w:rPr/>
  </w:style>
  <w:style w:type="paragraph" w:styleId="Nagwek">
    <w:name w:val="Nagłówek"/>
    <w:basedOn w:val="Normal"/>
    <w:next w:val="Tretekstu"/>
    <w:qFormat/>
    <w:pPr>
      <w:keepNext w:val="true"/>
      <w:spacing w:before="240" w:after="120"/>
    </w:pPr>
    <w:rPr>
      <w:rFonts w:ascii="Liberation Sans" w:hAnsi="Liberation Sans" w:eastAsia="Microsoft YaHei" w:cs="Arial Unicode MS"/>
      <w:sz w:val="28"/>
      <w:szCs w:val="28"/>
    </w:rPr>
  </w:style>
  <w:style w:type="paragraph" w:styleId="Tretekstu">
    <w:name w:val="Body Text"/>
    <w:basedOn w:val="Normal"/>
    <w:link w:val="TekstpodstawowyZnak"/>
    <w:semiHidden/>
    <w:rsid w:val="00197d53"/>
    <w:pPr>
      <w:spacing w:lineRule="auto" w:line="360"/>
      <w:jc w:val="both"/>
    </w:pPr>
    <w:rPr>
      <w:rFonts w:ascii="Times New Roman" w:hAnsi="Times New Roman" w:eastAsia="Times New Roman"/>
      <w:bCs w:val="false"/>
      <w:lang w:eastAsia="pl-PL"/>
    </w:rPr>
  </w:style>
  <w:style w:type="paragraph" w:styleId="Lista">
    <w:name w:val="List"/>
    <w:basedOn w:val="Tretekstu"/>
    <w:pPr/>
    <w:rPr>
      <w:rFonts w:cs="Arial Unicode MS"/>
    </w:rPr>
  </w:style>
  <w:style w:type="paragraph" w:styleId="Podpis">
    <w:name w:val="Caption"/>
    <w:basedOn w:val="Normal"/>
    <w:qFormat/>
    <w:pPr>
      <w:suppressLineNumbers/>
      <w:spacing w:before="120" w:after="120"/>
    </w:pPr>
    <w:rPr>
      <w:rFonts w:cs="Arial Unicode MS"/>
      <w:i/>
      <w:iCs/>
      <w:sz w:val="24"/>
      <w:szCs w:val="24"/>
    </w:rPr>
  </w:style>
  <w:style w:type="paragraph" w:styleId="Indeks">
    <w:name w:val="Indeks"/>
    <w:basedOn w:val="Normal"/>
    <w:qFormat/>
    <w:pPr>
      <w:suppressLineNumbers/>
    </w:pPr>
    <w:rPr>
      <w:rFonts w:cs="Arial Unicode MS"/>
      <w:lang w:val="zxx" w:eastAsia="zxx" w:bidi="zxx"/>
    </w:rPr>
  </w:style>
  <w:style w:type="paragraph" w:styleId="Wcicietrecitekstu">
    <w:name w:val="Body Text Indent"/>
    <w:basedOn w:val="Normal"/>
    <w:link w:val="TekstpodstawowywcityZnak"/>
    <w:semiHidden/>
    <w:rsid w:val="00197d53"/>
    <w:pPr>
      <w:spacing w:lineRule="auto" w:line="360"/>
      <w:ind w:firstLine="360"/>
      <w:jc w:val="both"/>
    </w:pPr>
    <w:rPr>
      <w:rFonts w:ascii="Times New Roman" w:hAnsi="Times New Roman" w:eastAsia="Times New Roman"/>
      <w:bCs w:val="false"/>
      <w:lang w:eastAsia="pl-PL"/>
    </w:rPr>
  </w:style>
  <w:style w:type="paragraph" w:styleId="Przypisdolny">
    <w:name w:val="Footnote Text"/>
    <w:basedOn w:val="Normal"/>
    <w:link w:val="TekstprzypisudolnegoZnak"/>
    <w:semiHidden/>
    <w:rsid w:val="00197d53"/>
    <w:pPr/>
    <w:rPr>
      <w:rFonts w:ascii="Times New Roman" w:hAnsi="Times New Roman" w:eastAsia="Times New Roman"/>
      <w:bCs w:val="false"/>
      <w:sz w:val="20"/>
      <w:szCs w:val="20"/>
      <w:lang w:eastAsia="pl-PL"/>
    </w:rPr>
  </w:style>
  <w:style w:type="paragraph" w:styleId="BalloonText">
    <w:name w:val="Balloon Text"/>
    <w:basedOn w:val="Normal"/>
    <w:link w:val="TekstdymkaZnak"/>
    <w:uiPriority w:val="99"/>
    <w:semiHidden/>
    <w:unhideWhenUsed/>
    <w:qFormat/>
    <w:rsid w:val="00197d53"/>
    <w:pPr/>
    <w:rPr>
      <w:rFonts w:ascii="Tahoma" w:hAnsi="Tahoma" w:cs="Tahoma"/>
      <w:sz w:val="16"/>
      <w:szCs w:val="16"/>
    </w:rPr>
  </w:style>
  <w:style w:type="paragraph" w:styleId="Gwkaistopka">
    <w:name w:val="Główka i stopka"/>
    <w:basedOn w:val="Normal"/>
    <w:qFormat/>
    <w:pPr/>
    <w:rPr/>
  </w:style>
  <w:style w:type="paragraph" w:styleId="Gwka">
    <w:name w:val="Header"/>
    <w:basedOn w:val="Normal"/>
    <w:link w:val="NagwekZnak"/>
    <w:uiPriority w:val="99"/>
    <w:unhideWhenUsed/>
    <w:rsid w:val="00d95ac4"/>
    <w:pPr>
      <w:tabs>
        <w:tab w:val="clear" w:pos="708"/>
        <w:tab w:val="center" w:pos="4536" w:leader="none"/>
        <w:tab w:val="right" w:pos="9072" w:leader="none"/>
      </w:tabs>
    </w:pPr>
    <w:rPr/>
  </w:style>
  <w:style w:type="paragraph" w:styleId="Stopka">
    <w:name w:val="Footer"/>
    <w:basedOn w:val="Normal"/>
    <w:link w:val="StopkaZnak"/>
    <w:uiPriority w:val="99"/>
    <w:unhideWhenUsed/>
    <w:rsid w:val="00d95ac4"/>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33E29-7223-454D-BA8B-BCA94D031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Application>LibreOffice/7.4.1.2$Windows_X86_64 LibreOffice_project/3c58a8f3a960df8bc8fd77b461821e42c061c5f0</Application>
  <AppVersion>15.0000</AppVersion>
  <Pages>2</Pages>
  <Words>919</Words>
  <Characters>5363</Characters>
  <CharactersWithSpaces>6279</CharactersWithSpaces>
  <Paragraphs>21</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2011-11-02T18:33:00Z</dcterms:created>
  <dc:creator>Szymon Zabokrzecki</dc:creator>
  <dc:description/>
  <dc:language>pl-PL</dc:language>
  <cp:lastModifiedBy/>
  <dcterms:modified xsi:type="dcterms:W3CDTF">2026-01-15T10:41:51Z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